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E374" w14:textId="0E7410B3" w:rsidR="00C4392F" w:rsidRDefault="00A44C84" w:rsidP="00A44C8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FILOSOFIA GRECIEI ANTICE</w:t>
      </w:r>
    </w:p>
    <w:p w14:paraId="15B16A1A" w14:textId="0486A07D" w:rsidR="00A44C84" w:rsidRDefault="00A44C84" w:rsidP="00A44C8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Premisele și caracteristica generală a filosofiei Greciei antice</w:t>
      </w:r>
    </w:p>
    <w:p w14:paraId="628E0A4D" w14:textId="71F7AEE0" w:rsidR="00A44C84" w:rsidRDefault="00A44C84" w:rsidP="00A44C8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Filosofia preclasică din Grecia antică</w:t>
      </w:r>
    </w:p>
    <w:p w14:paraId="3AB2A128" w14:textId="77777777" w:rsidR="00A44C84" w:rsidRDefault="00A44C84" w:rsidP="00A44C8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Filosofia clasică </w:t>
      </w:r>
      <w:r>
        <w:rPr>
          <w:rFonts w:ascii="Times New Roman" w:hAnsi="Times New Roman" w:cs="Times New Roman"/>
          <w:b/>
          <w:bCs/>
          <w:sz w:val="28"/>
          <w:szCs w:val="28"/>
        </w:rPr>
        <w:t>din Grecia antică</w:t>
      </w:r>
    </w:p>
    <w:p w14:paraId="45FCCBEC" w14:textId="73576873" w:rsidR="00A44C84" w:rsidRDefault="00A44C84" w:rsidP="00A44C8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Filosofia eleno-romană</w:t>
      </w:r>
    </w:p>
    <w:p w14:paraId="7B4EECAC" w14:textId="1DDA8E14" w:rsidR="00A44C84" w:rsidRDefault="00A44C84" w:rsidP="00A44C84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2D851" w14:textId="1E0BB1C2" w:rsidR="00A44C84" w:rsidRDefault="00A44C84" w:rsidP="00A44C84">
      <w:pPr>
        <w:pStyle w:val="ListParagraph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Premisele și caracteristica generală a filosofiei Greciei antice</w:t>
      </w:r>
    </w:p>
    <w:p w14:paraId="41AF3319" w14:textId="77777777" w:rsidR="00A44C84" w:rsidRPr="00A44C84" w:rsidRDefault="00A44C84" w:rsidP="00A44C84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95806" w14:textId="22343B4B" w:rsidR="00A44C84" w:rsidRPr="00A44C84" w:rsidRDefault="00A44C84" w:rsidP="00A44C84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Filosofia greacă se d</w:t>
      </w:r>
      <w:r w:rsidR="003903AB">
        <w:rPr>
          <w:rFonts w:ascii="Times New Roman" w:hAnsi="Times New Roman" w:cs="Times New Roman"/>
          <w:sz w:val="28"/>
          <w:szCs w:val="28"/>
        </w:rPr>
        <w:t>istinge</w:t>
      </w:r>
      <w:r>
        <w:rPr>
          <w:rFonts w:ascii="Times New Roman" w:hAnsi="Times New Roman" w:cs="Times New Roman"/>
          <w:sz w:val="28"/>
          <w:szCs w:val="28"/>
        </w:rPr>
        <w:t xml:space="preserve"> esențial de filosofia orientală prin faptul că aceasta este o gândire independentă, rațională, deosebită de gândirea teosofică a răsăritului.</w:t>
      </w:r>
      <w:r w:rsidR="003903AB">
        <w:rPr>
          <w:rFonts w:ascii="Times New Roman" w:hAnsi="Times New Roman" w:cs="Times New Roman"/>
          <w:sz w:val="28"/>
          <w:szCs w:val="28"/>
        </w:rPr>
        <w:t xml:space="preserve"> Știința s-a născut concomitent cu filosofia greacă, care și-a făcut apariția atunci când s-a eliberat de sub autoritatea religiei; după care face o curbă ca mai apoi să dispară, atunci când se contopește din nou cu religia (sec. IV-VI e.n.</w:t>
      </w:r>
      <w:bookmarkStart w:id="0" w:name="_GoBack"/>
      <w:bookmarkEnd w:id="0"/>
      <w:r w:rsidR="003903AB">
        <w:rPr>
          <w:rFonts w:ascii="Times New Roman" w:hAnsi="Times New Roman" w:cs="Times New Roman"/>
          <w:sz w:val="28"/>
          <w:szCs w:val="28"/>
        </w:rPr>
        <w:t>)</w:t>
      </w:r>
    </w:p>
    <w:sectPr w:rsidR="00A44C84" w:rsidRPr="00A44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8F"/>
    <w:multiLevelType w:val="hybridMultilevel"/>
    <w:tmpl w:val="1CE84B48"/>
    <w:lvl w:ilvl="0" w:tplc="C3B6C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1429"/>
    <w:multiLevelType w:val="hybridMultilevel"/>
    <w:tmpl w:val="B9629850"/>
    <w:lvl w:ilvl="0" w:tplc="6BF4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A"/>
    <w:rsid w:val="000B2995"/>
    <w:rsid w:val="003903AB"/>
    <w:rsid w:val="00842FCA"/>
    <w:rsid w:val="00A44C84"/>
    <w:rsid w:val="00C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96CD"/>
  <w15:chartTrackingRefBased/>
  <w15:docId w15:val="{5A4FC289-697A-486D-A9B8-0913DC18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2020-03-31T19:22:00Z</dcterms:created>
  <dcterms:modified xsi:type="dcterms:W3CDTF">2020-03-31T19:35:00Z</dcterms:modified>
</cp:coreProperties>
</file>