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6C81" w14:textId="77777777" w:rsidR="00DF1240" w:rsidRPr="00BE61AF" w:rsidRDefault="00DF1240" w:rsidP="00DF1240">
      <w:pPr>
        <w:spacing w:before="60" w:after="60"/>
        <w:jc w:val="both"/>
        <w:rPr>
          <w:color w:val="000000" w:themeColor="text1"/>
          <w:lang w:val="ro-RO"/>
        </w:rPr>
      </w:pPr>
    </w:p>
    <w:p w14:paraId="42ED30DC" w14:textId="77777777" w:rsidR="00DF1240" w:rsidRPr="00BE61AF" w:rsidRDefault="00DF1240" w:rsidP="00DF1240">
      <w:pPr>
        <w:spacing w:before="60" w:after="60"/>
        <w:jc w:val="center"/>
        <w:rPr>
          <w:b/>
          <w:bCs/>
          <w:sz w:val="28"/>
          <w:szCs w:val="28"/>
          <w:lang w:val="ro-RO"/>
        </w:rPr>
      </w:pPr>
      <w:r w:rsidRPr="00BE61AF">
        <w:rPr>
          <w:b/>
          <w:bCs/>
          <w:sz w:val="28"/>
          <w:szCs w:val="28"/>
          <w:lang w:val="ro-RO"/>
        </w:rPr>
        <w:t>MINISTERUL EDUCAȚIEI ȘI CERCETĂRII AL REPUBLICII MOLDOVA</w:t>
      </w:r>
    </w:p>
    <w:p w14:paraId="207830E8" w14:textId="77777777" w:rsidR="00DF1240" w:rsidRPr="00BE61AF" w:rsidRDefault="00DF1240" w:rsidP="00DF1240">
      <w:pPr>
        <w:spacing w:before="60" w:after="60"/>
        <w:jc w:val="center"/>
        <w:rPr>
          <w:color w:val="000000" w:themeColor="text1"/>
          <w:sz w:val="28"/>
          <w:szCs w:val="28"/>
          <w:lang w:val="ro-RO"/>
        </w:rPr>
      </w:pPr>
      <w:r w:rsidRPr="00BE61AF">
        <w:rPr>
          <w:b/>
          <w:bCs/>
          <w:color w:val="000000" w:themeColor="text1"/>
          <w:sz w:val="28"/>
          <w:szCs w:val="28"/>
          <w:lang w:val="ro-RO"/>
        </w:rPr>
        <w:t>UNIVERSITATEA TEHNICA A MOLDOVEI</w:t>
      </w:r>
    </w:p>
    <w:p w14:paraId="3DF8F2FF" w14:textId="77777777" w:rsidR="00DF1240" w:rsidRPr="00BE61AF" w:rsidRDefault="00DF1240" w:rsidP="00DF1240">
      <w:pPr>
        <w:spacing w:before="60" w:after="60"/>
        <w:jc w:val="center"/>
        <w:rPr>
          <w:color w:val="000000" w:themeColor="text1"/>
          <w:sz w:val="28"/>
          <w:szCs w:val="28"/>
          <w:lang w:val="ro-RO"/>
        </w:rPr>
      </w:pPr>
      <w:r w:rsidRPr="00BE61AF">
        <w:rPr>
          <w:b/>
          <w:bCs/>
          <w:color w:val="000000" w:themeColor="text1"/>
          <w:sz w:val="28"/>
          <w:szCs w:val="28"/>
          <w:lang w:val="ro-RO"/>
        </w:rPr>
        <w:t>FACULTATEA CALCULATOARE, INFORMATICA ȘI MICROELECTRONICĂ</w:t>
      </w:r>
    </w:p>
    <w:p w14:paraId="128EFBC1" w14:textId="77777777" w:rsidR="00DF1240" w:rsidRPr="00BE61AF" w:rsidRDefault="00DF1240" w:rsidP="00DF1240">
      <w:pPr>
        <w:spacing w:before="60" w:after="60"/>
        <w:jc w:val="center"/>
        <w:rPr>
          <w:color w:val="000000" w:themeColor="text1"/>
          <w:sz w:val="28"/>
          <w:szCs w:val="28"/>
          <w:lang w:val="ro-RO"/>
        </w:rPr>
      </w:pPr>
      <w:r w:rsidRPr="00BE61AF">
        <w:rPr>
          <w:b/>
          <w:bCs/>
          <w:color w:val="000000" w:themeColor="text1"/>
          <w:sz w:val="28"/>
          <w:szCs w:val="28"/>
          <w:lang w:val="ro-RO"/>
        </w:rPr>
        <w:t>DEPARTAMENTUL MICROELECTRONICĂ ȘI INGINERIE BIOMEDICALĂ</w:t>
      </w:r>
    </w:p>
    <w:p w14:paraId="125CC9CC" w14:textId="77777777" w:rsidR="00DF1240" w:rsidRPr="00BE61AF" w:rsidRDefault="00DF1240" w:rsidP="00DF1240">
      <w:pPr>
        <w:spacing w:before="60" w:after="60"/>
        <w:jc w:val="center"/>
        <w:rPr>
          <w:color w:val="000000" w:themeColor="text1"/>
          <w:sz w:val="28"/>
          <w:szCs w:val="28"/>
          <w:lang w:val="ro-RO"/>
        </w:rPr>
      </w:pPr>
    </w:p>
    <w:p w14:paraId="0CB650CF" w14:textId="77777777" w:rsidR="00DF1240" w:rsidRPr="00BE61AF" w:rsidRDefault="00DF1240" w:rsidP="00DF1240">
      <w:pPr>
        <w:spacing w:before="60" w:after="60"/>
        <w:jc w:val="center"/>
        <w:rPr>
          <w:color w:val="000000" w:themeColor="text1"/>
          <w:sz w:val="28"/>
          <w:szCs w:val="28"/>
          <w:lang w:val="ro-RO"/>
        </w:rPr>
      </w:pPr>
    </w:p>
    <w:p w14:paraId="4946C36E" w14:textId="77777777" w:rsidR="00DF1240" w:rsidRPr="00BE61AF" w:rsidRDefault="00DF1240" w:rsidP="00DF1240">
      <w:pPr>
        <w:spacing w:before="60" w:after="60"/>
        <w:jc w:val="center"/>
        <w:rPr>
          <w:color w:val="000000" w:themeColor="text1"/>
          <w:sz w:val="28"/>
          <w:szCs w:val="28"/>
          <w:lang w:val="ro-RO"/>
        </w:rPr>
      </w:pPr>
    </w:p>
    <w:p w14:paraId="3AC42F93" w14:textId="77777777" w:rsidR="00DF1240" w:rsidRPr="00BE61AF" w:rsidRDefault="00DF1240" w:rsidP="00DF1240">
      <w:pPr>
        <w:spacing w:before="60" w:after="60"/>
        <w:jc w:val="center"/>
        <w:rPr>
          <w:color w:val="000000" w:themeColor="text1"/>
          <w:sz w:val="28"/>
          <w:szCs w:val="28"/>
          <w:lang w:val="ro-RO"/>
        </w:rPr>
      </w:pPr>
      <w:r w:rsidRPr="00BE61AF">
        <w:rPr>
          <w:b/>
          <w:bCs/>
          <w:color w:val="000000" w:themeColor="text1"/>
          <w:sz w:val="28"/>
          <w:szCs w:val="28"/>
          <w:lang w:val="ro-RO"/>
        </w:rPr>
        <w:t>RAPORT DE CERCETARE</w:t>
      </w:r>
    </w:p>
    <w:p w14:paraId="1361E15D" w14:textId="77777777" w:rsidR="00DF1240" w:rsidRPr="00BE61AF" w:rsidRDefault="00DF1240" w:rsidP="00DF1240">
      <w:pPr>
        <w:spacing w:before="60" w:after="60"/>
        <w:jc w:val="center"/>
        <w:rPr>
          <w:color w:val="000000" w:themeColor="text1"/>
          <w:sz w:val="28"/>
          <w:szCs w:val="28"/>
          <w:lang w:val="ro-RO"/>
        </w:rPr>
      </w:pPr>
    </w:p>
    <w:p w14:paraId="2D0F60C9" w14:textId="3A4669C1" w:rsidR="00DF1240" w:rsidRPr="00BE61AF" w:rsidRDefault="00DF1240" w:rsidP="00DF1240">
      <w:pPr>
        <w:spacing w:before="60" w:after="60"/>
        <w:jc w:val="center"/>
        <w:rPr>
          <w:color w:val="000000" w:themeColor="text1"/>
          <w:sz w:val="28"/>
          <w:szCs w:val="28"/>
          <w:lang w:val="ro-RO"/>
        </w:rPr>
      </w:pPr>
      <w:r w:rsidRPr="00BE61AF">
        <w:rPr>
          <w:b/>
          <w:bCs/>
          <w:color w:val="000000" w:themeColor="text1"/>
          <w:sz w:val="28"/>
          <w:szCs w:val="28"/>
          <w:lang w:val="ro-RO"/>
        </w:rPr>
        <w:t>Cu tema: „</w:t>
      </w:r>
      <w:r w:rsidR="00BE61AF" w:rsidRPr="00BE61AF">
        <w:rPr>
          <w:b/>
          <w:bCs/>
          <w:color w:val="000000" w:themeColor="text1"/>
          <w:sz w:val="28"/>
          <w:szCs w:val="28"/>
          <w:lang w:val="ro-RO"/>
        </w:rPr>
        <w:t>Spectroscopia Raman in nanoinginerie</w:t>
      </w:r>
      <w:r w:rsidRPr="00BE61AF">
        <w:rPr>
          <w:b/>
          <w:bCs/>
          <w:color w:val="000000" w:themeColor="text1"/>
          <w:sz w:val="28"/>
          <w:szCs w:val="28"/>
          <w:lang w:val="ro-RO"/>
        </w:rPr>
        <w:t>”</w:t>
      </w:r>
    </w:p>
    <w:p w14:paraId="4200DB1B" w14:textId="77777777" w:rsidR="00DF1240" w:rsidRPr="00BE61AF" w:rsidRDefault="00DF1240" w:rsidP="00DF1240">
      <w:pPr>
        <w:spacing w:before="60" w:after="60"/>
        <w:jc w:val="center"/>
        <w:rPr>
          <w:color w:val="000000" w:themeColor="text1"/>
          <w:sz w:val="28"/>
          <w:szCs w:val="28"/>
          <w:lang w:val="ro-RO"/>
        </w:rPr>
      </w:pPr>
    </w:p>
    <w:p w14:paraId="35E27DB7" w14:textId="46F382D9" w:rsidR="00DF1240" w:rsidRPr="00BE61AF" w:rsidRDefault="00DF1240" w:rsidP="00DF1240">
      <w:pPr>
        <w:spacing w:before="60" w:after="60"/>
        <w:jc w:val="center"/>
        <w:rPr>
          <w:b/>
          <w:bCs/>
          <w:color w:val="000000" w:themeColor="text1"/>
          <w:sz w:val="28"/>
          <w:szCs w:val="28"/>
          <w:lang w:val="ro-RO"/>
        </w:rPr>
      </w:pPr>
      <w:r w:rsidRPr="00BE61AF">
        <w:rPr>
          <w:b/>
          <w:bCs/>
          <w:color w:val="000000" w:themeColor="text1"/>
          <w:sz w:val="28"/>
          <w:szCs w:val="28"/>
          <w:lang w:val="ro-RO"/>
        </w:rPr>
        <w:t xml:space="preserve">Disciplina: </w:t>
      </w:r>
      <w:r w:rsidR="00BE61AF" w:rsidRPr="00BE61AF">
        <w:rPr>
          <w:b/>
          <w:bCs/>
          <w:color w:val="000000" w:themeColor="text1"/>
          <w:sz w:val="28"/>
          <w:szCs w:val="28"/>
          <w:lang w:val="ro-RO"/>
        </w:rPr>
        <w:t>Instrumentație</w:t>
      </w:r>
      <w:r w:rsidR="00BE61AF" w:rsidRPr="00BE61AF">
        <w:rPr>
          <w:b/>
          <w:bCs/>
          <w:color w:val="000000" w:themeColor="text1"/>
          <w:sz w:val="28"/>
          <w:szCs w:val="28"/>
          <w:lang w:val="ro-RO"/>
        </w:rPr>
        <w:t xml:space="preserve"> și Metrologie pentru Nanoinginerie </w:t>
      </w:r>
    </w:p>
    <w:p w14:paraId="4CFDA654" w14:textId="77777777" w:rsidR="00DF1240" w:rsidRPr="00BE61AF" w:rsidRDefault="00DF1240" w:rsidP="00DF1240">
      <w:pPr>
        <w:spacing w:before="60" w:after="60"/>
        <w:jc w:val="both"/>
        <w:rPr>
          <w:color w:val="000000" w:themeColor="text1"/>
          <w:sz w:val="28"/>
          <w:szCs w:val="28"/>
          <w:lang w:val="ro-RO"/>
        </w:rPr>
      </w:pPr>
    </w:p>
    <w:p w14:paraId="39E2BDFB" w14:textId="77777777" w:rsidR="00DF1240" w:rsidRPr="00BE61AF" w:rsidRDefault="00DF1240" w:rsidP="00DF1240">
      <w:pPr>
        <w:spacing w:before="60" w:after="60"/>
        <w:jc w:val="both"/>
        <w:rPr>
          <w:color w:val="000000" w:themeColor="text1"/>
          <w:sz w:val="28"/>
          <w:szCs w:val="28"/>
          <w:lang w:val="ro-RO"/>
        </w:rPr>
      </w:pPr>
    </w:p>
    <w:p w14:paraId="4A9F1B60" w14:textId="77777777" w:rsidR="00DF1240" w:rsidRPr="00BE61AF" w:rsidRDefault="00DF1240" w:rsidP="00DF1240">
      <w:pPr>
        <w:spacing w:before="60" w:after="60"/>
        <w:jc w:val="both"/>
        <w:rPr>
          <w:color w:val="000000" w:themeColor="text1"/>
          <w:sz w:val="28"/>
          <w:szCs w:val="28"/>
          <w:lang w:val="ro-RO"/>
        </w:rPr>
      </w:pPr>
    </w:p>
    <w:p w14:paraId="54EA1FDE" w14:textId="77777777" w:rsidR="00DF1240" w:rsidRPr="00BE61AF" w:rsidRDefault="00DF1240" w:rsidP="00DF1240">
      <w:pPr>
        <w:spacing w:before="60" w:after="60"/>
        <w:jc w:val="both"/>
        <w:rPr>
          <w:color w:val="000000" w:themeColor="text1"/>
          <w:sz w:val="28"/>
          <w:szCs w:val="28"/>
          <w:lang w:val="ro-RO"/>
        </w:rPr>
      </w:pPr>
    </w:p>
    <w:p w14:paraId="34D57A5D" w14:textId="77777777" w:rsidR="00DF1240" w:rsidRPr="00BE61AF" w:rsidRDefault="00DF1240" w:rsidP="00DF1240">
      <w:pPr>
        <w:spacing w:before="60" w:after="60"/>
        <w:jc w:val="both"/>
        <w:rPr>
          <w:color w:val="000000" w:themeColor="text1"/>
          <w:sz w:val="28"/>
          <w:szCs w:val="28"/>
          <w:lang w:val="ro-RO"/>
        </w:rPr>
      </w:pPr>
    </w:p>
    <w:p w14:paraId="7CC41F24" w14:textId="77777777" w:rsidR="00DF1240" w:rsidRPr="00BE61AF" w:rsidRDefault="00DF1240" w:rsidP="00DF1240">
      <w:pPr>
        <w:spacing w:before="60" w:after="60"/>
        <w:jc w:val="both"/>
        <w:rPr>
          <w:color w:val="000000" w:themeColor="text1"/>
          <w:sz w:val="28"/>
          <w:szCs w:val="28"/>
          <w:lang w:val="ro-RO"/>
        </w:rPr>
      </w:pPr>
    </w:p>
    <w:p w14:paraId="0AEBB4B9" w14:textId="77777777" w:rsidR="00DF1240" w:rsidRPr="00BE61AF" w:rsidRDefault="00DF1240" w:rsidP="00DF1240">
      <w:pPr>
        <w:spacing w:before="60" w:after="60"/>
        <w:jc w:val="both"/>
        <w:rPr>
          <w:color w:val="000000" w:themeColor="text1"/>
          <w:sz w:val="28"/>
          <w:szCs w:val="28"/>
          <w:lang w:val="ro-RO"/>
        </w:rPr>
      </w:pPr>
    </w:p>
    <w:p w14:paraId="0F80CE70" w14:textId="77777777" w:rsidR="00DF1240" w:rsidRPr="00BE61AF" w:rsidRDefault="00DF1240" w:rsidP="00DF1240">
      <w:pPr>
        <w:spacing w:before="60" w:after="60"/>
        <w:jc w:val="both"/>
        <w:rPr>
          <w:color w:val="000000" w:themeColor="text1"/>
          <w:sz w:val="28"/>
          <w:szCs w:val="28"/>
          <w:lang w:val="ro-RO"/>
        </w:rPr>
      </w:pPr>
    </w:p>
    <w:p w14:paraId="5B7C5F20" w14:textId="77777777" w:rsidR="00DF1240" w:rsidRPr="00BE61AF" w:rsidRDefault="00DF1240" w:rsidP="00DF1240">
      <w:pPr>
        <w:spacing w:before="60" w:after="60"/>
        <w:jc w:val="both"/>
        <w:rPr>
          <w:color w:val="000000" w:themeColor="text1"/>
          <w:sz w:val="28"/>
          <w:szCs w:val="28"/>
          <w:lang w:val="ro-RO"/>
        </w:rPr>
      </w:pPr>
    </w:p>
    <w:p w14:paraId="4D5A308E" w14:textId="77777777" w:rsidR="00DF1240" w:rsidRPr="00BE61AF" w:rsidRDefault="00DF1240" w:rsidP="00DF1240">
      <w:pPr>
        <w:spacing w:before="60" w:after="60"/>
        <w:jc w:val="both"/>
        <w:rPr>
          <w:color w:val="000000" w:themeColor="text1"/>
          <w:sz w:val="28"/>
          <w:szCs w:val="28"/>
          <w:lang w:val="ro-RO"/>
        </w:rPr>
      </w:pPr>
    </w:p>
    <w:p w14:paraId="1805A0F0" w14:textId="77777777" w:rsidR="00DF1240" w:rsidRPr="00BE61AF" w:rsidRDefault="00DF1240" w:rsidP="00DF1240">
      <w:pPr>
        <w:spacing w:before="60" w:after="60"/>
        <w:jc w:val="both"/>
        <w:rPr>
          <w:color w:val="000000" w:themeColor="text1"/>
          <w:sz w:val="28"/>
          <w:szCs w:val="28"/>
          <w:lang w:val="ro-RO"/>
        </w:rPr>
      </w:pPr>
    </w:p>
    <w:p w14:paraId="2AFBD980" w14:textId="77777777" w:rsidR="00DF1240" w:rsidRPr="00BE61AF" w:rsidRDefault="00DF1240" w:rsidP="00DF1240">
      <w:pPr>
        <w:spacing w:before="60" w:after="60"/>
        <w:jc w:val="both"/>
        <w:rPr>
          <w:color w:val="000000" w:themeColor="text1"/>
          <w:sz w:val="28"/>
          <w:szCs w:val="28"/>
          <w:lang w:val="ro-RO"/>
        </w:rPr>
      </w:pPr>
    </w:p>
    <w:p w14:paraId="1AD3D3D3" w14:textId="6FAFB67D" w:rsidR="00DF1240" w:rsidRPr="00BE61AF" w:rsidRDefault="00DF1240" w:rsidP="00DF1240">
      <w:pPr>
        <w:spacing w:before="60" w:after="60"/>
        <w:jc w:val="both"/>
        <w:rPr>
          <w:color w:val="000000" w:themeColor="text1"/>
          <w:sz w:val="28"/>
          <w:szCs w:val="28"/>
          <w:lang w:val="ro-RO"/>
        </w:rPr>
      </w:pPr>
      <w:r w:rsidRPr="00BE61AF">
        <w:rPr>
          <w:color w:val="000000" w:themeColor="text1"/>
          <w:sz w:val="28"/>
          <w:szCs w:val="28"/>
          <w:lang w:val="ro-RO"/>
        </w:rPr>
        <w:t>A efectuat:                                                             st. gr. MN-251M  Rabii Vadim</w:t>
      </w:r>
    </w:p>
    <w:p w14:paraId="4B7214B4" w14:textId="77777777" w:rsidR="00DF1240" w:rsidRPr="00BE61AF" w:rsidRDefault="00DF1240" w:rsidP="00DF1240">
      <w:pPr>
        <w:spacing w:before="60" w:after="60"/>
        <w:jc w:val="both"/>
        <w:rPr>
          <w:color w:val="000000" w:themeColor="text1"/>
          <w:sz w:val="28"/>
          <w:szCs w:val="28"/>
          <w:lang w:val="ro-RO"/>
        </w:rPr>
      </w:pPr>
      <w:r w:rsidRPr="00BE61AF">
        <w:rPr>
          <w:color w:val="000000" w:themeColor="text1"/>
          <w:sz w:val="28"/>
          <w:szCs w:val="28"/>
          <w:lang w:val="ro-RO"/>
        </w:rPr>
        <w:t>A ferificat:                                                                         Dr. hab. Artur Buzdugan</w:t>
      </w:r>
    </w:p>
    <w:p w14:paraId="72910911" w14:textId="77777777" w:rsidR="00DF1240" w:rsidRPr="00BE61AF" w:rsidRDefault="00DF1240" w:rsidP="00DF1240">
      <w:pPr>
        <w:spacing w:before="60" w:after="60"/>
        <w:jc w:val="both"/>
        <w:rPr>
          <w:color w:val="000000" w:themeColor="text1"/>
          <w:sz w:val="28"/>
          <w:szCs w:val="28"/>
          <w:lang w:val="ro-RO"/>
        </w:rPr>
      </w:pPr>
    </w:p>
    <w:p w14:paraId="4115BC8C" w14:textId="77777777" w:rsidR="00DF1240" w:rsidRPr="00BE61AF" w:rsidRDefault="00DF1240" w:rsidP="00DF1240">
      <w:pPr>
        <w:spacing w:before="60" w:after="60"/>
        <w:jc w:val="both"/>
        <w:rPr>
          <w:color w:val="000000" w:themeColor="text1"/>
          <w:sz w:val="28"/>
          <w:szCs w:val="28"/>
          <w:lang w:val="ro-RO"/>
        </w:rPr>
      </w:pPr>
    </w:p>
    <w:p w14:paraId="79EF2BEF" w14:textId="77777777" w:rsidR="00DF1240" w:rsidRPr="00BE61AF" w:rsidRDefault="00DF1240" w:rsidP="00DF1240">
      <w:pPr>
        <w:spacing w:before="60" w:after="60"/>
        <w:jc w:val="both"/>
        <w:rPr>
          <w:color w:val="000000" w:themeColor="text1"/>
          <w:sz w:val="28"/>
          <w:szCs w:val="28"/>
          <w:lang w:val="ro-RO"/>
        </w:rPr>
      </w:pPr>
    </w:p>
    <w:p w14:paraId="6775714C" w14:textId="77777777" w:rsidR="00DF1240" w:rsidRPr="00BE61AF" w:rsidRDefault="00DF1240" w:rsidP="00DF1240">
      <w:pPr>
        <w:spacing w:before="60" w:after="60"/>
        <w:jc w:val="both"/>
        <w:rPr>
          <w:color w:val="000000" w:themeColor="text1"/>
          <w:sz w:val="28"/>
          <w:szCs w:val="28"/>
          <w:lang w:val="ro-RO"/>
        </w:rPr>
      </w:pPr>
    </w:p>
    <w:p w14:paraId="1F886C05" w14:textId="77777777" w:rsidR="00DF1240" w:rsidRPr="00BE61AF" w:rsidRDefault="00DF1240" w:rsidP="00DF1240">
      <w:pPr>
        <w:spacing w:before="60" w:after="60"/>
        <w:jc w:val="both"/>
        <w:rPr>
          <w:color w:val="000000" w:themeColor="text1"/>
          <w:sz w:val="28"/>
          <w:szCs w:val="28"/>
          <w:lang w:val="ro-RO"/>
        </w:rPr>
      </w:pPr>
      <w:r w:rsidRPr="00BE61AF">
        <w:rPr>
          <w:color w:val="000000" w:themeColor="text1"/>
          <w:sz w:val="28"/>
          <w:szCs w:val="28"/>
          <w:lang w:val="ro-RO"/>
        </w:rPr>
        <w:t xml:space="preserve">                                                           Chișinău, 2026</w:t>
      </w:r>
    </w:p>
    <w:p w14:paraId="741E8B0C" w14:textId="77777777" w:rsidR="009D56A1" w:rsidRPr="00BE61AF" w:rsidRDefault="00580181">
      <w:pPr>
        <w:spacing w:before="200" w:after="400"/>
        <w:jc w:val="center"/>
        <w:rPr>
          <w:lang w:val="ro-RO"/>
        </w:rPr>
      </w:pPr>
      <w:r w:rsidRPr="00BE61AF">
        <w:rPr>
          <w:b/>
          <w:bCs/>
          <w:caps/>
          <w:sz w:val="32"/>
          <w:szCs w:val="32"/>
          <w:lang w:val="ro-RO"/>
        </w:rPr>
        <w:t>CUPRINS</w:t>
      </w:r>
    </w:p>
    <w:p w14:paraId="52C953F4" w14:textId="77777777" w:rsidR="009D56A1" w:rsidRPr="00BE61AF" w:rsidRDefault="00580181">
      <w:pPr>
        <w:tabs>
          <w:tab w:val="right" w:leader="dot" w:pos="9026"/>
        </w:tabs>
        <w:spacing w:before="40" w:after="40" w:line="360" w:lineRule="auto"/>
        <w:rPr>
          <w:lang w:val="ro-RO"/>
        </w:rPr>
      </w:pPr>
      <w:r w:rsidRPr="00BE61AF">
        <w:rPr>
          <w:b/>
          <w:bCs/>
          <w:lang w:val="ro-RO"/>
        </w:rPr>
        <w:lastRenderedPageBreak/>
        <w:t>1.  Introducere</w:t>
      </w:r>
      <w:r w:rsidRPr="00BE61AF">
        <w:rPr>
          <w:lang w:val="ro-RO"/>
        </w:rPr>
        <w:tab/>
        <w:t>3</w:t>
      </w:r>
    </w:p>
    <w:p w14:paraId="10A69694" w14:textId="77777777" w:rsidR="009D56A1" w:rsidRPr="00BE61AF" w:rsidRDefault="00580181">
      <w:pPr>
        <w:tabs>
          <w:tab w:val="right" w:leader="dot" w:pos="9026"/>
        </w:tabs>
        <w:spacing w:before="40" w:after="40" w:line="360" w:lineRule="auto"/>
        <w:rPr>
          <w:lang w:val="ro-RO"/>
        </w:rPr>
      </w:pPr>
      <w:r w:rsidRPr="00BE61AF">
        <w:rPr>
          <w:b/>
          <w:bCs/>
          <w:lang w:val="ro-RO"/>
        </w:rPr>
        <w:t>2.  Principii fizice ale Spectroscopiei Raman</w:t>
      </w:r>
      <w:r w:rsidRPr="00BE61AF">
        <w:rPr>
          <w:lang w:val="ro-RO"/>
        </w:rPr>
        <w:tab/>
        <w:t>4</w:t>
      </w:r>
    </w:p>
    <w:p w14:paraId="61EB648F" w14:textId="77777777" w:rsidR="009D56A1" w:rsidRPr="00BE61AF" w:rsidRDefault="00580181">
      <w:pPr>
        <w:tabs>
          <w:tab w:val="right" w:leader="dot" w:pos="9026"/>
        </w:tabs>
        <w:spacing w:before="40" w:after="40" w:line="360" w:lineRule="auto"/>
        <w:rPr>
          <w:lang w:val="ro-RO"/>
        </w:rPr>
      </w:pPr>
      <w:r w:rsidRPr="00BE61AF">
        <w:rPr>
          <w:lang w:val="ro-RO"/>
        </w:rPr>
        <w:t>2.1.  Efectul Raman – fundamente</w:t>
      </w:r>
      <w:r w:rsidRPr="00BE61AF">
        <w:rPr>
          <w:lang w:val="ro-RO"/>
        </w:rPr>
        <w:tab/>
        <w:t>4</w:t>
      </w:r>
    </w:p>
    <w:p w14:paraId="1E7DB604" w14:textId="77777777" w:rsidR="009D56A1" w:rsidRPr="00BE61AF" w:rsidRDefault="00580181">
      <w:pPr>
        <w:tabs>
          <w:tab w:val="right" w:leader="dot" w:pos="9026"/>
        </w:tabs>
        <w:spacing w:before="40" w:after="40" w:line="360" w:lineRule="auto"/>
        <w:rPr>
          <w:lang w:val="ro-RO"/>
        </w:rPr>
      </w:pPr>
      <w:r w:rsidRPr="00BE61AF">
        <w:rPr>
          <w:lang w:val="ro-RO"/>
        </w:rPr>
        <w:t>2.2.  Tipuri de împrăștiere și selecție a modurilor</w:t>
      </w:r>
      <w:r w:rsidRPr="00BE61AF">
        <w:rPr>
          <w:lang w:val="ro-RO"/>
        </w:rPr>
        <w:tab/>
        <w:t>5</w:t>
      </w:r>
    </w:p>
    <w:p w14:paraId="57BC78CA" w14:textId="77777777" w:rsidR="009D56A1" w:rsidRPr="00BE61AF" w:rsidRDefault="00580181">
      <w:pPr>
        <w:tabs>
          <w:tab w:val="right" w:leader="dot" w:pos="9026"/>
        </w:tabs>
        <w:spacing w:before="40" w:after="40" w:line="360" w:lineRule="auto"/>
        <w:rPr>
          <w:lang w:val="ro-RO"/>
        </w:rPr>
      </w:pPr>
      <w:r w:rsidRPr="00BE61AF">
        <w:rPr>
          <w:b/>
          <w:bCs/>
          <w:lang w:val="ro-RO"/>
        </w:rPr>
        <w:t>3.  Tehnici avansate Raman în Nanoinginerie</w:t>
      </w:r>
      <w:r w:rsidRPr="00BE61AF">
        <w:rPr>
          <w:lang w:val="ro-RO"/>
        </w:rPr>
        <w:tab/>
        <w:t>5</w:t>
      </w:r>
    </w:p>
    <w:p w14:paraId="7472C634" w14:textId="77777777" w:rsidR="009D56A1" w:rsidRPr="00BE61AF" w:rsidRDefault="00580181">
      <w:pPr>
        <w:tabs>
          <w:tab w:val="right" w:leader="dot" w:pos="9026"/>
        </w:tabs>
        <w:spacing w:before="40" w:after="40" w:line="360" w:lineRule="auto"/>
        <w:rPr>
          <w:lang w:val="ro-RO"/>
        </w:rPr>
      </w:pPr>
      <w:r w:rsidRPr="00BE61AF">
        <w:rPr>
          <w:lang w:val="ro-RO"/>
        </w:rPr>
        <w:t>3.1.  SERS – Surface-Enhanced Raman Scattering</w:t>
      </w:r>
      <w:r w:rsidRPr="00BE61AF">
        <w:rPr>
          <w:lang w:val="ro-RO"/>
        </w:rPr>
        <w:tab/>
        <w:t>6</w:t>
      </w:r>
    </w:p>
    <w:p w14:paraId="722ABD83" w14:textId="77777777" w:rsidR="009D56A1" w:rsidRPr="00BE61AF" w:rsidRDefault="00580181">
      <w:pPr>
        <w:tabs>
          <w:tab w:val="right" w:leader="dot" w:pos="9026"/>
        </w:tabs>
        <w:spacing w:before="40" w:after="40" w:line="360" w:lineRule="auto"/>
        <w:rPr>
          <w:lang w:val="ro-RO"/>
        </w:rPr>
      </w:pPr>
      <w:r w:rsidRPr="00BE61AF">
        <w:rPr>
          <w:lang w:val="ro-RO"/>
        </w:rPr>
        <w:t>3.2.  TERS – Tip-Enhanced Raman Scattering</w:t>
      </w:r>
      <w:r w:rsidRPr="00BE61AF">
        <w:rPr>
          <w:lang w:val="ro-RO"/>
        </w:rPr>
        <w:tab/>
        <w:t>6</w:t>
      </w:r>
    </w:p>
    <w:p w14:paraId="6CB537E8" w14:textId="77777777" w:rsidR="009D56A1" w:rsidRPr="00BE61AF" w:rsidRDefault="00580181">
      <w:pPr>
        <w:tabs>
          <w:tab w:val="right" w:leader="dot" w:pos="9026"/>
        </w:tabs>
        <w:spacing w:before="40" w:after="40" w:line="360" w:lineRule="auto"/>
        <w:rPr>
          <w:lang w:val="ro-RO"/>
        </w:rPr>
      </w:pPr>
      <w:r w:rsidRPr="00BE61AF">
        <w:rPr>
          <w:lang w:val="ro-RO"/>
        </w:rPr>
        <w:t>3.3.  Raman Confocal și Cartografierea Chimică</w:t>
      </w:r>
      <w:r w:rsidRPr="00BE61AF">
        <w:rPr>
          <w:lang w:val="ro-RO"/>
        </w:rPr>
        <w:tab/>
        <w:t>7</w:t>
      </w:r>
    </w:p>
    <w:p w14:paraId="7F2EC014" w14:textId="77777777" w:rsidR="009D56A1" w:rsidRPr="00BE61AF" w:rsidRDefault="00580181">
      <w:pPr>
        <w:tabs>
          <w:tab w:val="right" w:leader="dot" w:pos="9026"/>
        </w:tabs>
        <w:spacing w:before="40" w:after="40" w:line="360" w:lineRule="auto"/>
        <w:rPr>
          <w:lang w:val="ro-RO"/>
        </w:rPr>
      </w:pPr>
      <w:r w:rsidRPr="00BE61AF">
        <w:rPr>
          <w:b/>
          <w:bCs/>
          <w:lang w:val="ro-RO"/>
        </w:rPr>
        <w:t>4.  Caracterizarea Nanomaterialelor prin Raman</w:t>
      </w:r>
      <w:r w:rsidRPr="00BE61AF">
        <w:rPr>
          <w:lang w:val="ro-RO"/>
        </w:rPr>
        <w:tab/>
        <w:t>7</w:t>
      </w:r>
    </w:p>
    <w:p w14:paraId="3F8BC8C2" w14:textId="77777777" w:rsidR="009D56A1" w:rsidRPr="00BE61AF" w:rsidRDefault="00580181">
      <w:pPr>
        <w:tabs>
          <w:tab w:val="right" w:leader="dot" w:pos="9026"/>
        </w:tabs>
        <w:spacing w:before="40" w:after="40" w:line="360" w:lineRule="auto"/>
        <w:rPr>
          <w:lang w:val="ro-RO"/>
        </w:rPr>
      </w:pPr>
      <w:r w:rsidRPr="00BE61AF">
        <w:rPr>
          <w:lang w:val="ro-RO"/>
        </w:rPr>
        <w:t>4.1.  Grafen și derivați</w:t>
      </w:r>
      <w:r w:rsidRPr="00BE61AF">
        <w:rPr>
          <w:lang w:val="ro-RO"/>
        </w:rPr>
        <w:tab/>
        <w:t>8</w:t>
      </w:r>
    </w:p>
    <w:p w14:paraId="70A1A04D" w14:textId="77777777" w:rsidR="009D56A1" w:rsidRPr="00BE61AF" w:rsidRDefault="00580181">
      <w:pPr>
        <w:tabs>
          <w:tab w:val="right" w:leader="dot" w:pos="9026"/>
        </w:tabs>
        <w:spacing w:before="40" w:after="40" w:line="360" w:lineRule="auto"/>
        <w:rPr>
          <w:lang w:val="ro-RO"/>
        </w:rPr>
      </w:pPr>
      <w:r w:rsidRPr="00BE61AF">
        <w:rPr>
          <w:lang w:val="ro-RO"/>
        </w:rPr>
        <w:t>4.2.  Nanotuburi de carbon</w:t>
      </w:r>
      <w:r w:rsidRPr="00BE61AF">
        <w:rPr>
          <w:lang w:val="ro-RO"/>
        </w:rPr>
        <w:tab/>
        <w:t>8</w:t>
      </w:r>
    </w:p>
    <w:p w14:paraId="038FA469" w14:textId="77777777" w:rsidR="009D56A1" w:rsidRPr="00BE61AF" w:rsidRDefault="00580181">
      <w:pPr>
        <w:tabs>
          <w:tab w:val="right" w:leader="dot" w:pos="9026"/>
        </w:tabs>
        <w:spacing w:before="40" w:after="40" w:line="360" w:lineRule="auto"/>
        <w:rPr>
          <w:lang w:val="ro-RO"/>
        </w:rPr>
      </w:pPr>
      <w:r w:rsidRPr="00BE61AF">
        <w:rPr>
          <w:lang w:val="ro-RO"/>
        </w:rPr>
        <w:t>4.3.  Nanoparticule metalice și semiconductoare</w:t>
      </w:r>
      <w:r w:rsidRPr="00BE61AF">
        <w:rPr>
          <w:lang w:val="ro-RO"/>
        </w:rPr>
        <w:tab/>
        <w:t>9</w:t>
      </w:r>
    </w:p>
    <w:p w14:paraId="38A2FC21" w14:textId="77777777" w:rsidR="009D56A1" w:rsidRPr="00BE61AF" w:rsidRDefault="00580181">
      <w:pPr>
        <w:tabs>
          <w:tab w:val="right" w:leader="dot" w:pos="9026"/>
        </w:tabs>
        <w:spacing w:before="40" w:after="40" w:line="360" w:lineRule="auto"/>
        <w:rPr>
          <w:lang w:val="ro-RO"/>
        </w:rPr>
      </w:pPr>
      <w:r w:rsidRPr="00BE61AF">
        <w:rPr>
          <w:b/>
          <w:bCs/>
          <w:lang w:val="ro-RO"/>
        </w:rPr>
        <w:t>5.  Avantaje, Limitări și Perspective</w:t>
      </w:r>
      <w:r w:rsidRPr="00BE61AF">
        <w:rPr>
          <w:lang w:val="ro-RO"/>
        </w:rPr>
        <w:tab/>
        <w:t>10</w:t>
      </w:r>
    </w:p>
    <w:p w14:paraId="5FAF495D" w14:textId="77777777" w:rsidR="009D56A1" w:rsidRPr="00BE61AF" w:rsidRDefault="00580181">
      <w:pPr>
        <w:tabs>
          <w:tab w:val="right" w:leader="dot" w:pos="9026"/>
        </w:tabs>
        <w:spacing w:before="40" w:after="40" w:line="360" w:lineRule="auto"/>
        <w:rPr>
          <w:lang w:val="ro-RO"/>
        </w:rPr>
      </w:pPr>
      <w:r w:rsidRPr="00BE61AF">
        <w:rPr>
          <w:b/>
          <w:bCs/>
          <w:lang w:val="ro-RO"/>
        </w:rPr>
        <w:t>6.  Concluzie</w:t>
      </w:r>
      <w:r w:rsidRPr="00BE61AF">
        <w:rPr>
          <w:lang w:val="ro-RO"/>
        </w:rPr>
        <w:tab/>
        <w:t>11</w:t>
      </w:r>
    </w:p>
    <w:p w14:paraId="629E6AA5" w14:textId="77777777" w:rsidR="009D56A1" w:rsidRPr="00BE61AF" w:rsidRDefault="00580181">
      <w:pPr>
        <w:tabs>
          <w:tab w:val="right" w:leader="dot" w:pos="9026"/>
        </w:tabs>
        <w:spacing w:before="40" w:after="40" w:line="360" w:lineRule="auto"/>
        <w:rPr>
          <w:lang w:val="ro-RO"/>
        </w:rPr>
      </w:pPr>
      <w:r w:rsidRPr="00BE61AF">
        <w:rPr>
          <w:lang w:val="ro-RO"/>
        </w:rPr>
        <w:t xml:space="preserve">  Bibliografie</w:t>
      </w:r>
      <w:r w:rsidRPr="00BE61AF">
        <w:rPr>
          <w:lang w:val="ro-RO"/>
        </w:rPr>
        <w:tab/>
        <w:t>12</w:t>
      </w:r>
    </w:p>
    <w:p w14:paraId="726E316D" w14:textId="77777777" w:rsidR="009D56A1" w:rsidRPr="00BE61AF" w:rsidRDefault="00580181">
      <w:pPr>
        <w:rPr>
          <w:lang w:val="ro-RO"/>
        </w:rPr>
      </w:pPr>
      <w:r w:rsidRPr="00BE61AF">
        <w:rPr>
          <w:lang w:val="ro-RO"/>
        </w:rPr>
        <w:br w:type="page"/>
      </w:r>
    </w:p>
    <w:p w14:paraId="086B1B9C" w14:textId="77777777" w:rsidR="009D56A1" w:rsidRPr="00BE61AF" w:rsidRDefault="00580181">
      <w:pPr>
        <w:pStyle w:val="Heading1"/>
        <w:rPr>
          <w:color w:val="auto"/>
          <w:lang w:val="ro-RO"/>
        </w:rPr>
      </w:pPr>
      <w:r w:rsidRPr="00BE61AF">
        <w:rPr>
          <w:color w:val="auto"/>
          <w:lang w:val="ro-RO"/>
        </w:rPr>
        <w:lastRenderedPageBreak/>
        <w:t>1. Introducere</w:t>
      </w:r>
    </w:p>
    <w:p w14:paraId="100EF0A3" w14:textId="77777777" w:rsidR="009D56A1" w:rsidRPr="00BE61AF" w:rsidRDefault="00580181">
      <w:pPr>
        <w:spacing w:after="120" w:line="360" w:lineRule="auto"/>
        <w:jc w:val="both"/>
        <w:rPr>
          <w:lang w:val="ro-RO"/>
        </w:rPr>
      </w:pPr>
      <w:r w:rsidRPr="00BE61AF">
        <w:rPr>
          <w:lang w:val="ro-RO"/>
        </w:rPr>
        <w:t>Spectroscopia Raman reprezintă una dintre cele mai puternice tehnici analitice optice disponibile astăzi, oferind informații structurale și chimice de înaltă rezoluție fără a necesita prepararea distructivă a eșantioanelor. Descoperit de Chandrasekhara Venkata Raman în 1928, efectul Raman a revoluționat caracterizarea materialelor, iar laureatul Nobel indian a deschis calea unor decenii de inovații spectroscopice.</w:t>
      </w:r>
    </w:p>
    <w:p w14:paraId="28326333" w14:textId="77777777" w:rsidR="009D56A1" w:rsidRPr="00BE61AF" w:rsidRDefault="00580181">
      <w:pPr>
        <w:spacing w:after="120" w:line="360" w:lineRule="auto"/>
        <w:jc w:val="both"/>
        <w:rPr>
          <w:lang w:val="ro-RO"/>
        </w:rPr>
      </w:pPr>
      <w:r w:rsidRPr="00BE61AF">
        <w:rPr>
          <w:lang w:val="ro-RO"/>
        </w:rPr>
        <w:t>În contextul nanoinginerie – domeniu care operează la scări de 1–100 nm – spectroscopia Raman s-a impus ca un instrument indispensabil datorită capacității sale de a detecta vibrații moleculare specifice, de a identifica fazele cristaline și de a evalua calitatea structurală a nanomaterialelor. Semnalul Raman este sensibil la modificările geometrice și electronice care survin la scala nanometrică, ceea ce îl face deosebit de valoros pentru studiul grafenului, nanotuburilor de carbon, nanoparticulelor metali</w:t>
      </w:r>
      <w:r w:rsidRPr="00BE61AF">
        <w:rPr>
          <w:lang w:val="ro-RO"/>
        </w:rPr>
        <w:t>ce și al materialelor 2D.</w:t>
      </w:r>
    </w:p>
    <w:p w14:paraId="30146808" w14:textId="77777777" w:rsidR="009D56A1" w:rsidRPr="00BE61AF" w:rsidRDefault="00580181">
      <w:pPr>
        <w:spacing w:after="120" w:line="360" w:lineRule="auto"/>
        <w:jc w:val="both"/>
        <w:rPr>
          <w:lang w:val="ro-RO"/>
        </w:rPr>
      </w:pPr>
      <w:r w:rsidRPr="00BE61AF">
        <w:rPr>
          <w:lang w:val="ro-RO"/>
        </w:rPr>
        <w:t>Progresele recente în amplificarea câmpului electromagnetic – prin tehnici precum SERS (Surface-Enhanced Raman Scattering) și TERS (Tip-Enhanced Raman Scattering) – au permis depășirea limitei de difracție optică, aducând rezoluția spațială la nivel de molecule individuale. Integrarea spectroscopiei Raman cu microscopia confocală, cu microscopele cu forță atomică (AFM) și cu sursele de lumină coerente de mare performanță a transformat această tehnică într-o platformă de analiză multimodală.</w:t>
      </w:r>
    </w:p>
    <w:p w14:paraId="19E7BFD8" w14:textId="77777777" w:rsidR="009D56A1" w:rsidRPr="00BE61AF" w:rsidRDefault="00580181">
      <w:pPr>
        <w:spacing w:after="120" w:line="360" w:lineRule="auto"/>
        <w:jc w:val="both"/>
        <w:rPr>
          <w:lang w:val="ro-RO"/>
        </w:rPr>
      </w:pPr>
      <w:r w:rsidRPr="00BE61AF">
        <w:rPr>
          <w:lang w:val="ro-RO"/>
        </w:rPr>
        <w:t>Prezentul proiect urmărește să prezinte principiile fundamentale ale spectroscopiei Raman, tehnicile avansate derivate din aceasta, aplicațiile în caracterizarea nanomaterialelor și perspectivele de viitor ale domeniului, cu accent pe importanța practică în nanoinginerie modernă.</w:t>
      </w:r>
    </w:p>
    <w:p w14:paraId="6AB77923" w14:textId="77777777" w:rsidR="009D56A1" w:rsidRPr="00BE61AF" w:rsidRDefault="00580181">
      <w:pPr>
        <w:rPr>
          <w:lang w:val="ro-RO"/>
        </w:rPr>
      </w:pPr>
      <w:r w:rsidRPr="00BE61AF">
        <w:rPr>
          <w:lang w:val="ro-RO"/>
        </w:rPr>
        <w:br w:type="page"/>
      </w:r>
    </w:p>
    <w:p w14:paraId="1BAF3259" w14:textId="77777777" w:rsidR="009D56A1" w:rsidRPr="00BE61AF" w:rsidRDefault="00580181">
      <w:pPr>
        <w:pStyle w:val="Heading1"/>
        <w:rPr>
          <w:color w:val="auto"/>
          <w:lang w:val="ro-RO"/>
        </w:rPr>
      </w:pPr>
      <w:r w:rsidRPr="00BE61AF">
        <w:rPr>
          <w:color w:val="auto"/>
          <w:lang w:val="ro-RO"/>
        </w:rPr>
        <w:lastRenderedPageBreak/>
        <w:t>2. Principii Fizice ale Spectroscopiei Raman</w:t>
      </w:r>
    </w:p>
    <w:p w14:paraId="2B2B32C3" w14:textId="77777777" w:rsidR="009D56A1" w:rsidRPr="00BE61AF" w:rsidRDefault="00580181">
      <w:pPr>
        <w:pStyle w:val="Heading2"/>
        <w:rPr>
          <w:color w:val="auto"/>
          <w:lang w:val="ro-RO"/>
        </w:rPr>
      </w:pPr>
      <w:r w:rsidRPr="00BE61AF">
        <w:rPr>
          <w:color w:val="auto"/>
          <w:lang w:val="ro-RO"/>
        </w:rPr>
        <w:t>2.1. Efectul Raman – Fundamente</w:t>
      </w:r>
    </w:p>
    <w:p w14:paraId="33471FAF" w14:textId="77777777" w:rsidR="009D56A1" w:rsidRPr="00BE61AF" w:rsidRDefault="00580181">
      <w:pPr>
        <w:spacing w:after="120" w:line="360" w:lineRule="auto"/>
        <w:jc w:val="both"/>
        <w:rPr>
          <w:lang w:val="ro-RO"/>
        </w:rPr>
      </w:pPr>
      <w:r w:rsidRPr="00BE61AF">
        <w:rPr>
          <w:lang w:val="ro-RO"/>
        </w:rPr>
        <w:t>Efectul Raman este un fenomen de împrăștiere inelastică a luminii, în care fotonii incidenti interacționează cu modurile vibrationale ale moleculelor sau cristalelor. Spre deosebire de împrăștierea Rayleigh (elastică, fără schimb de energie), în împrăștierea Raman fotonul împrăștiat are o frecvență diferită de cea a fotonului incident. Diferența de frecvență, numită deplasare Raman, corespunde exact frecvenței unui mod vibrational al sistemului studiat.</w:t>
      </w:r>
    </w:p>
    <w:p w14:paraId="4A9742EE" w14:textId="77777777" w:rsidR="009D56A1" w:rsidRPr="00BE61AF" w:rsidRDefault="00580181">
      <w:pPr>
        <w:spacing w:after="120" w:line="360" w:lineRule="auto"/>
        <w:jc w:val="both"/>
        <w:rPr>
          <w:lang w:val="ro-RO"/>
        </w:rPr>
      </w:pPr>
      <w:r w:rsidRPr="00BE61AF">
        <w:rPr>
          <w:lang w:val="ro-RO"/>
        </w:rPr>
        <w:t>Din punct de vedere clasic, efectul Raman poate fi descris prin polarizabilitatea moleculei α, care modulează câmpul electric al luminii incidente. Polarizabilitatea variabilă în raport cu coordonata normală a vibrației Q (∂α/∂Q ≠ 0) este condiția necesară pentru activitatea Raman, spre deosebire de spectroscopia infraroșu (IR), unde condiția este variația momentului de dipol (∂µ/∂Q ≠ 0). Aceasta face ca tehnicile Raman și IR să fie complementare.</w:t>
      </w:r>
    </w:p>
    <w:p w14:paraId="27EF93CE" w14:textId="77777777" w:rsidR="009D56A1" w:rsidRPr="00BE61AF" w:rsidRDefault="00580181">
      <w:pPr>
        <w:spacing w:after="120" w:line="360" w:lineRule="auto"/>
        <w:jc w:val="both"/>
        <w:rPr>
          <w:lang w:val="ro-RO"/>
        </w:rPr>
      </w:pPr>
      <w:r w:rsidRPr="00BE61AF">
        <w:rPr>
          <w:lang w:val="ro-RO"/>
        </w:rPr>
        <w:t>Cuantic, procesul Raman Stokes presupune absorbția unui foton de energie hν₀ și emisia unui foton de energie h(ν₀ − νvib), cu molecula rămânând într-o stare vibratională excitată. Procesul anti-Stokes implică molecule deja vibrational excitate și produce fotoni de energie h(ν₀ + νvib). Raportul intensităților liniilor Stokes față de anti-Stokes este guvernat de distribuția Boltzmann și permite determinarea temperaturii locale a materialului.</w:t>
      </w:r>
    </w:p>
    <w:p w14:paraId="2D061C88" w14:textId="77777777" w:rsidR="009D56A1" w:rsidRPr="00BE61AF" w:rsidRDefault="00580181">
      <w:pPr>
        <w:spacing w:after="120" w:line="360" w:lineRule="auto"/>
        <w:jc w:val="both"/>
        <w:rPr>
          <w:lang w:val="ro-RO"/>
        </w:rPr>
      </w:pPr>
      <w:r w:rsidRPr="00BE61AF">
        <w:rPr>
          <w:lang w:val="ro-RO"/>
        </w:rPr>
        <w:t>Secțiunea de coliziune Raman tipică (∼10⁻³⁰ cm²/moleculă·sr) este cu aproximativ 14 ordine de mărime mai mică decât cea a fluorescenței, fapt ce a constituit multă vreme principala limitare a tehnicii. Introducerea laserelor, a detectorilor CCD cu eficiență cuantică ridicată și a tehnicilor de amplificare a câmpului a rezolvat în mare măsură această problemă.</w:t>
      </w:r>
    </w:p>
    <w:p w14:paraId="5E8146F3" w14:textId="77777777" w:rsidR="009D56A1" w:rsidRPr="00BE61AF" w:rsidRDefault="00580181">
      <w:pPr>
        <w:pStyle w:val="Heading2"/>
        <w:rPr>
          <w:color w:val="auto"/>
          <w:lang w:val="ro-RO"/>
        </w:rPr>
      </w:pPr>
      <w:r w:rsidRPr="00BE61AF">
        <w:rPr>
          <w:color w:val="auto"/>
          <w:lang w:val="ro-RO"/>
        </w:rPr>
        <w:t>2.2. Tipuri de Împrăștiere și Selecție a Modurilor</w:t>
      </w:r>
    </w:p>
    <w:p w14:paraId="208BC54D" w14:textId="77777777" w:rsidR="009D56A1" w:rsidRPr="00BE61AF" w:rsidRDefault="00580181">
      <w:pPr>
        <w:spacing w:after="120" w:line="360" w:lineRule="auto"/>
        <w:jc w:val="both"/>
        <w:rPr>
          <w:lang w:val="ro-RO"/>
        </w:rPr>
      </w:pPr>
      <w:r w:rsidRPr="00BE61AF">
        <w:rPr>
          <w:lang w:val="ro-RO"/>
        </w:rPr>
        <w:t>Într-un cristal, selecția modurilor Raman este determinată de regulile de selecție ale teoriei grupurilor, care leagă simetria modurilor vibraționale de activitatea lor Raman. Modurile active Raman trebuie să aparțină reprezentărilor ireductibile care transformă ca produse ale coordonatelor carteziene (x², y², z², xy, xz, yz). Această analiză de simetrie este esențială pentru atribuirea benzilor spectrale din materialele nanocristaline, unde efectele de confinament cuantic modifică regulile de selecție.</w:t>
      </w:r>
    </w:p>
    <w:p w14:paraId="46CF7070" w14:textId="42A35FFD" w:rsidR="009D56A1" w:rsidRPr="00BE61AF" w:rsidRDefault="00580181" w:rsidP="00DF1240">
      <w:pPr>
        <w:spacing w:after="120" w:line="360" w:lineRule="auto"/>
        <w:jc w:val="both"/>
        <w:rPr>
          <w:lang w:val="ro-RO"/>
        </w:rPr>
      </w:pPr>
      <w:r w:rsidRPr="00BE61AF">
        <w:rPr>
          <w:lang w:val="ro-RO"/>
        </w:rPr>
        <w:t xml:space="preserve">În nanoparticule, confinamentul fononic conduce la lărgirea și deplasarea benzilor Raman comparativ cu cristalul masiv. Modelul confinării fononice (PCM) elaborat de Richter, </w:t>
      </w:r>
      <w:r w:rsidRPr="00BE61AF">
        <w:rPr>
          <w:lang w:val="ro-RO"/>
        </w:rPr>
        <w:lastRenderedPageBreak/>
        <w:t>Wang și Ley permite corelarea lărgimii la jumătatea înălțimii (FWHM) a benzii cu dimensiunea nanocristalelor, furnizând o metodă neinvazivă de determinare a dimensiunilor nanoparticulelor.</w:t>
      </w:r>
    </w:p>
    <w:p w14:paraId="1F195A19" w14:textId="77777777" w:rsidR="009D56A1" w:rsidRPr="00BE61AF" w:rsidRDefault="00580181">
      <w:pPr>
        <w:pStyle w:val="Heading1"/>
        <w:rPr>
          <w:color w:val="auto"/>
          <w:lang w:val="ro-RO"/>
        </w:rPr>
      </w:pPr>
      <w:r w:rsidRPr="00BE61AF">
        <w:rPr>
          <w:color w:val="auto"/>
          <w:lang w:val="ro-RO"/>
        </w:rPr>
        <w:t>3. Tehnici Avansate Raman în Nanoinginerie</w:t>
      </w:r>
    </w:p>
    <w:p w14:paraId="2AA229A8" w14:textId="77777777" w:rsidR="009D56A1" w:rsidRPr="00BE61AF" w:rsidRDefault="00580181">
      <w:pPr>
        <w:spacing w:after="120" w:line="360" w:lineRule="auto"/>
        <w:jc w:val="both"/>
        <w:rPr>
          <w:lang w:val="ro-RO"/>
        </w:rPr>
      </w:pPr>
      <w:r w:rsidRPr="00BE61AF">
        <w:rPr>
          <w:lang w:val="ro-RO"/>
        </w:rPr>
        <w:t>Tabelul 1 prezintă o comparație sintetică a principalelor tehnici Raman utilizate în nanoinginerie, evidențiind rezoluția spațială, domeniul spectral și aplicațiile caracteristice ale fiecăreia.</w:t>
      </w:r>
    </w:p>
    <w:p w14:paraId="2A24CAD4" w14:textId="77777777" w:rsidR="009D56A1" w:rsidRPr="00BE61AF" w:rsidRDefault="00580181">
      <w:pPr>
        <w:spacing w:before="160" w:after="80"/>
        <w:jc w:val="center"/>
        <w:rPr>
          <w:lang w:val="ro-RO"/>
        </w:rPr>
      </w:pPr>
      <w:r w:rsidRPr="00BE61AF">
        <w:rPr>
          <w:b/>
          <w:bCs/>
          <w:i/>
          <w:iCs/>
          <w:sz w:val="22"/>
          <w:szCs w:val="22"/>
          <w:lang w:val="ro-RO"/>
        </w:rPr>
        <w:t>Tabelul 1. Comparație între tehnicile Raman utilizate în nanoinginerie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9D56A1" w:rsidRPr="00BE61AF" w14:paraId="372AD4B7" w14:textId="77777777">
        <w:tblPrEx>
          <w:tblCellMar>
            <w:top w:w="0" w:type="dxa"/>
            <w:bottom w:w="0" w:type="dxa"/>
          </w:tblCellMar>
        </w:tblPrEx>
        <w:trPr>
          <w:tblHeader/>
        </w:trPr>
        <w:tc>
          <w:tcPr>
            <w:tcW w:w="2256"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6085F4B7" w14:textId="77777777" w:rsidR="009D56A1" w:rsidRPr="00BE61AF" w:rsidRDefault="00580181">
            <w:pPr>
              <w:jc w:val="center"/>
              <w:rPr>
                <w:lang w:val="ro-RO"/>
              </w:rPr>
            </w:pPr>
            <w:r w:rsidRPr="00BE61AF">
              <w:rPr>
                <w:b/>
                <w:bCs/>
                <w:sz w:val="22"/>
                <w:szCs w:val="22"/>
                <w:lang w:val="ro-RO"/>
              </w:rPr>
              <w:t>Tehnică</w:t>
            </w:r>
          </w:p>
        </w:tc>
        <w:tc>
          <w:tcPr>
            <w:tcW w:w="2256"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0E09F82F" w14:textId="77777777" w:rsidR="009D56A1" w:rsidRPr="00BE61AF" w:rsidRDefault="00580181">
            <w:pPr>
              <w:jc w:val="center"/>
              <w:rPr>
                <w:lang w:val="ro-RO"/>
              </w:rPr>
            </w:pPr>
            <w:r w:rsidRPr="00BE61AF">
              <w:rPr>
                <w:b/>
                <w:bCs/>
                <w:sz w:val="22"/>
                <w:szCs w:val="22"/>
                <w:lang w:val="ro-RO"/>
              </w:rPr>
              <w:t>Rezoluție spațială</w:t>
            </w:r>
          </w:p>
        </w:tc>
        <w:tc>
          <w:tcPr>
            <w:tcW w:w="2257"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2F82E589" w14:textId="77777777" w:rsidR="009D56A1" w:rsidRPr="00BE61AF" w:rsidRDefault="00580181">
            <w:pPr>
              <w:jc w:val="center"/>
              <w:rPr>
                <w:lang w:val="ro-RO"/>
              </w:rPr>
            </w:pPr>
            <w:r w:rsidRPr="00BE61AF">
              <w:rPr>
                <w:b/>
                <w:bCs/>
                <w:sz w:val="22"/>
                <w:szCs w:val="22"/>
                <w:lang w:val="ro-RO"/>
              </w:rPr>
              <w:t>Domeniu spectral</w:t>
            </w:r>
          </w:p>
        </w:tc>
        <w:tc>
          <w:tcPr>
            <w:tcW w:w="2257"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4BAC9707" w14:textId="77777777" w:rsidR="009D56A1" w:rsidRPr="00BE61AF" w:rsidRDefault="00580181">
            <w:pPr>
              <w:jc w:val="center"/>
              <w:rPr>
                <w:lang w:val="ro-RO"/>
              </w:rPr>
            </w:pPr>
            <w:r w:rsidRPr="00BE61AF">
              <w:rPr>
                <w:b/>
                <w:bCs/>
                <w:sz w:val="22"/>
                <w:szCs w:val="22"/>
                <w:lang w:val="ro-RO"/>
              </w:rPr>
              <w:t>Aplicații principale</w:t>
            </w:r>
          </w:p>
        </w:tc>
      </w:tr>
      <w:tr w:rsidR="009D56A1" w:rsidRPr="00BE61AF" w14:paraId="21599EBE" w14:textId="77777777">
        <w:tblPrEx>
          <w:tblCellMar>
            <w:top w:w="0" w:type="dxa"/>
            <w:bottom w:w="0" w:type="dxa"/>
          </w:tblCellMar>
        </w:tblPrEx>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12F3CE9" w14:textId="77777777" w:rsidR="009D56A1" w:rsidRPr="00BE61AF" w:rsidRDefault="00580181">
            <w:pPr>
              <w:rPr>
                <w:lang w:val="ro-RO"/>
              </w:rPr>
            </w:pPr>
            <w:r w:rsidRPr="00BE61AF">
              <w:rPr>
                <w:sz w:val="22"/>
                <w:szCs w:val="22"/>
                <w:lang w:val="ro-RO"/>
              </w:rPr>
              <w:t>Raman convențional</w:t>
            </w:r>
          </w:p>
        </w:tc>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C40749D" w14:textId="77777777" w:rsidR="009D56A1" w:rsidRPr="00BE61AF" w:rsidRDefault="00580181">
            <w:pPr>
              <w:rPr>
                <w:lang w:val="ro-RO"/>
              </w:rPr>
            </w:pPr>
            <w:r w:rsidRPr="00BE61AF">
              <w:rPr>
                <w:sz w:val="22"/>
                <w:szCs w:val="22"/>
                <w:lang w:val="ro-RO"/>
              </w:rPr>
              <w:t>~1 µm</w:t>
            </w:r>
          </w:p>
        </w:tc>
        <w:tc>
          <w:tcPr>
            <w:tcW w:w="2257"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1FC666D5" w14:textId="77777777" w:rsidR="009D56A1" w:rsidRPr="00BE61AF" w:rsidRDefault="00580181">
            <w:pPr>
              <w:rPr>
                <w:lang w:val="ro-RO"/>
              </w:rPr>
            </w:pPr>
            <w:r w:rsidRPr="00BE61AF">
              <w:rPr>
                <w:sz w:val="22"/>
                <w:szCs w:val="22"/>
                <w:lang w:val="ro-RO"/>
              </w:rPr>
              <w:t>200–3500 cm⁻¹</w:t>
            </w:r>
          </w:p>
        </w:tc>
        <w:tc>
          <w:tcPr>
            <w:tcW w:w="2257"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1963B669" w14:textId="77777777" w:rsidR="009D56A1" w:rsidRPr="00BE61AF" w:rsidRDefault="00580181">
            <w:pPr>
              <w:rPr>
                <w:lang w:val="ro-RO"/>
              </w:rPr>
            </w:pPr>
            <w:r w:rsidRPr="00BE61AF">
              <w:rPr>
                <w:sz w:val="22"/>
                <w:szCs w:val="22"/>
                <w:lang w:val="ro-RO"/>
              </w:rPr>
              <w:t>Identificare materiale</w:t>
            </w:r>
          </w:p>
        </w:tc>
      </w:tr>
      <w:tr w:rsidR="009D56A1" w:rsidRPr="00BE61AF" w14:paraId="419EFD43" w14:textId="77777777">
        <w:tblPrEx>
          <w:tblCellMar>
            <w:top w:w="0" w:type="dxa"/>
            <w:bottom w:w="0" w:type="dxa"/>
          </w:tblCellMar>
        </w:tblPrEx>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62BB0E3" w14:textId="77777777" w:rsidR="009D56A1" w:rsidRPr="00BE61AF" w:rsidRDefault="00580181">
            <w:pPr>
              <w:rPr>
                <w:lang w:val="ro-RO"/>
              </w:rPr>
            </w:pPr>
            <w:r w:rsidRPr="00BE61AF">
              <w:rPr>
                <w:sz w:val="22"/>
                <w:szCs w:val="22"/>
                <w:lang w:val="ro-RO"/>
              </w:rPr>
              <w:t>SERS</w:t>
            </w:r>
          </w:p>
        </w:tc>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552DA5BB" w14:textId="77777777" w:rsidR="009D56A1" w:rsidRPr="00BE61AF" w:rsidRDefault="00580181">
            <w:pPr>
              <w:rPr>
                <w:lang w:val="ro-RO"/>
              </w:rPr>
            </w:pPr>
            <w:r w:rsidRPr="00BE61AF">
              <w:rPr>
                <w:sz w:val="22"/>
                <w:szCs w:val="22"/>
                <w:lang w:val="ro-RO"/>
              </w:rPr>
              <w:t>&lt; 1 nm</w:t>
            </w:r>
          </w:p>
        </w:tc>
        <w:tc>
          <w:tcPr>
            <w:tcW w:w="2257"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533BCE09" w14:textId="77777777" w:rsidR="009D56A1" w:rsidRPr="00BE61AF" w:rsidRDefault="00580181">
            <w:pPr>
              <w:rPr>
                <w:lang w:val="ro-RO"/>
              </w:rPr>
            </w:pPr>
            <w:r w:rsidRPr="00BE61AF">
              <w:rPr>
                <w:sz w:val="22"/>
                <w:szCs w:val="22"/>
                <w:lang w:val="ro-RO"/>
              </w:rPr>
              <w:t>200–3500 cm⁻¹</w:t>
            </w:r>
          </w:p>
        </w:tc>
        <w:tc>
          <w:tcPr>
            <w:tcW w:w="2257"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385C225C" w14:textId="77777777" w:rsidR="009D56A1" w:rsidRPr="00BE61AF" w:rsidRDefault="00580181">
            <w:pPr>
              <w:rPr>
                <w:lang w:val="ro-RO"/>
              </w:rPr>
            </w:pPr>
            <w:r w:rsidRPr="00BE61AF">
              <w:rPr>
                <w:sz w:val="22"/>
                <w:szCs w:val="22"/>
                <w:lang w:val="ro-RO"/>
              </w:rPr>
              <w:t>Detecție molecule singulare</w:t>
            </w:r>
          </w:p>
        </w:tc>
      </w:tr>
      <w:tr w:rsidR="009D56A1" w:rsidRPr="00BE61AF" w14:paraId="0613AB80" w14:textId="77777777">
        <w:tblPrEx>
          <w:tblCellMar>
            <w:top w:w="0" w:type="dxa"/>
            <w:bottom w:w="0" w:type="dxa"/>
          </w:tblCellMar>
        </w:tblPrEx>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B66C504" w14:textId="77777777" w:rsidR="009D56A1" w:rsidRPr="00BE61AF" w:rsidRDefault="00580181">
            <w:pPr>
              <w:rPr>
                <w:lang w:val="ro-RO"/>
              </w:rPr>
            </w:pPr>
            <w:r w:rsidRPr="00BE61AF">
              <w:rPr>
                <w:sz w:val="22"/>
                <w:szCs w:val="22"/>
                <w:lang w:val="ro-RO"/>
              </w:rPr>
              <w:t>TERS</w:t>
            </w:r>
          </w:p>
        </w:tc>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0A0DD7C" w14:textId="77777777" w:rsidR="009D56A1" w:rsidRPr="00BE61AF" w:rsidRDefault="00580181">
            <w:pPr>
              <w:rPr>
                <w:lang w:val="ro-RO"/>
              </w:rPr>
            </w:pPr>
            <w:r w:rsidRPr="00BE61AF">
              <w:rPr>
                <w:sz w:val="22"/>
                <w:szCs w:val="22"/>
                <w:lang w:val="ro-RO"/>
              </w:rPr>
              <w:t>~10–20 nm</w:t>
            </w:r>
          </w:p>
        </w:tc>
        <w:tc>
          <w:tcPr>
            <w:tcW w:w="2257"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365D85E9" w14:textId="77777777" w:rsidR="009D56A1" w:rsidRPr="00BE61AF" w:rsidRDefault="00580181">
            <w:pPr>
              <w:rPr>
                <w:lang w:val="ro-RO"/>
              </w:rPr>
            </w:pPr>
            <w:r w:rsidRPr="00BE61AF">
              <w:rPr>
                <w:sz w:val="22"/>
                <w:szCs w:val="22"/>
                <w:lang w:val="ro-RO"/>
              </w:rPr>
              <w:t>200–3500 cm⁻¹</w:t>
            </w:r>
          </w:p>
        </w:tc>
        <w:tc>
          <w:tcPr>
            <w:tcW w:w="2257"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3CE70766" w14:textId="77777777" w:rsidR="009D56A1" w:rsidRPr="00BE61AF" w:rsidRDefault="00580181">
            <w:pPr>
              <w:rPr>
                <w:lang w:val="ro-RO"/>
              </w:rPr>
            </w:pPr>
            <w:r w:rsidRPr="00BE61AF">
              <w:rPr>
                <w:sz w:val="22"/>
                <w:szCs w:val="22"/>
                <w:lang w:val="ro-RO"/>
              </w:rPr>
              <w:t>Nanoimagistică de suprafață</w:t>
            </w:r>
          </w:p>
        </w:tc>
      </w:tr>
      <w:tr w:rsidR="009D56A1" w:rsidRPr="00BE61AF" w14:paraId="3B25C114" w14:textId="77777777">
        <w:tblPrEx>
          <w:tblCellMar>
            <w:top w:w="0" w:type="dxa"/>
            <w:bottom w:w="0" w:type="dxa"/>
          </w:tblCellMar>
        </w:tblPrEx>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3BA70001" w14:textId="77777777" w:rsidR="009D56A1" w:rsidRPr="00BE61AF" w:rsidRDefault="00580181">
            <w:pPr>
              <w:rPr>
                <w:lang w:val="ro-RO"/>
              </w:rPr>
            </w:pPr>
            <w:r w:rsidRPr="00BE61AF">
              <w:rPr>
                <w:sz w:val="22"/>
                <w:szCs w:val="22"/>
                <w:lang w:val="ro-RO"/>
              </w:rPr>
              <w:t>Raman confocal</w:t>
            </w:r>
          </w:p>
        </w:tc>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0B7EA2D" w14:textId="77777777" w:rsidR="009D56A1" w:rsidRPr="00BE61AF" w:rsidRDefault="00580181">
            <w:pPr>
              <w:rPr>
                <w:lang w:val="ro-RO"/>
              </w:rPr>
            </w:pPr>
            <w:r w:rsidRPr="00BE61AF">
              <w:rPr>
                <w:sz w:val="22"/>
                <w:szCs w:val="22"/>
                <w:lang w:val="ro-RO"/>
              </w:rPr>
              <w:t>~300 nm</w:t>
            </w:r>
          </w:p>
        </w:tc>
        <w:tc>
          <w:tcPr>
            <w:tcW w:w="2257"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A9F8295" w14:textId="77777777" w:rsidR="009D56A1" w:rsidRPr="00BE61AF" w:rsidRDefault="00580181">
            <w:pPr>
              <w:rPr>
                <w:lang w:val="ro-RO"/>
              </w:rPr>
            </w:pPr>
            <w:r w:rsidRPr="00BE61AF">
              <w:rPr>
                <w:sz w:val="22"/>
                <w:szCs w:val="22"/>
                <w:lang w:val="ro-RO"/>
              </w:rPr>
              <w:t>200–3500 cm⁻¹</w:t>
            </w:r>
          </w:p>
        </w:tc>
        <w:tc>
          <w:tcPr>
            <w:tcW w:w="2257"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54617DD9" w14:textId="77777777" w:rsidR="009D56A1" w:rsidRPr="00BE61AF" w:rsidRDefault="00580181">
            <w:pPr>
              <w:rPr>
                <w:lang w:val="ro-RO"/>
              </w:rPr>
            </w:pPr>
            <w:r w:rsidRPr="00BE61AF">
              <w:rPr>
                <w:sz w:val="22"/>
                <w:szCs w:val="22"/>
                <w:lang w:val="ro-RO"/>
              </w:rPr>
              <w:t>Cartografiere 2D/3D</w:t>
            </w:r>
          </w:p>
        </w:tc>
      </w:tr>
      <w:tr w:rsidR="009D56A1" w:rsidRPr="00BE61AF" w14:paraId="5DB91F79" w14:textId="77777777">
        <w:tblPrEx>
          <w:tblCellMar>
            <w:top w:w="0" w:type="dxa"/>
            <w:bottom w:w="0" w:type="dxa"/>
          </w:tblCellMar>
        </w:tblPrEx>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326CEE8A" w14:textId="77777777" w:rsidR="009D56A1" w:rsidRPr="00BE61AF" w:rsidRDefault="00580181">
            <w:pPr>
              <w:rPr>
                <w:lang w:val="ro-RO"/>
              </w:rPr>
            </w:pPr>
            <w:r w:rsidRPr="00BE61AF">
              <w:rPr>
                <w:sz w:val="22"/>
                <w:szCs w:val="22"/>
                <w:lang w:val="ro-RO"/>
              </w:rPr>
              <w:t>Raman rezonat (RRS)</w:t>
            </w:r>
          </w:p>
        </w:tc>
        <w:tc>
          <w:tcPr>
            <w:tcW w:w="2256"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807E88C" w14:textId="77777777" w:rsidR="009D56A1" w:rsidRPr="00BE61AF" w:rsidRDefault="00580181">
            <w:pPr>
              <w:rPr>
                <w:lang w:val="ro-RO"/>
              </w:rPr>
            </w:pPr>
            <w:r w:rsidRPr="00BE61AF">
              <w:rPr>
                <w:sz w:val="22"/>
                <w:szCs w:val="22"/>
                <w:lang w:val="ro-RO"/>
              </w:rPr>
              <w:t>~1 µm</w:t>
            </w:r>
          </w:p>
        </w:tc>
        <w:tc>
          <w:tcPr>
            <w:tcW w:w="2257"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0270F01F" w14:textId="77777777" w:rsidR="009D56A1" w:rsidRPr="00BE61AF" w:rsidRDefault="00580181">
            <w:pPr>
              <w:rPr>
                <w:lang w:val="ro-RO"/>
              </w:rPr>
            </w:pPr>
            <w:r w:rsidRPr="00BE61AF">
              <w:rPr>
                <w:sz w:val="22"/>
                <w:szCs w:val="22"/>
                <w:lang w:val="ro-RO"/>
              </w:rPr>
              <w:t>200–3500 cm⁻¹</w:t>
            </w:r>
          </w:p>
        </w:tc>
        <w:tc>
          <w:tcPr>
            <w:tcW w:w="2257"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41B87DA6" w14:textId="77777777" w:rsidR="009D56A1" w:rsidRPr="00BE61AF" w:rsidRDefault="00580181">
            <w:pPr>
              <w:rPr>
                <w:lang w:val="ro-RO"/>
              </w:rPr>
            </w:pPr>
            <w:r w:rsidRPr="00BE61AF">
              <w:rPr>
                <w:sz w:val="22"/>
                <w:szCs w:val="22"/>
                <w:lang w:val="ro-RO"/>
              </w:rPr>
              <w:t>Studiu electroni π conjugați</w:t>
            </w:r>
          </w:p>
        </w:tc>
      </w:tr>
    </w:tbl>
    <w:p w14:paraId="21F95175" w14:textId="77777777" w:rsidR="009D56A1" w:rsidRPr="00BE61AF" w:rsidRDefault="009D56A1">
      <w:pPr>
        <w:spacing w:after="200"/>
        <w:rPr>
          <w:lang w:val="ro-RO"/>
        </w:rPr>
      </w:pPr>
    </w:p>
    <w:p w14:paraId="74B6A994" w14:textId="77777777" w:rsidR="009D56A1" w:rsidRPr="00BE61AF" w:rsidRDefault="00580181">
      <w:pPr>
        <w:pStyle w:val="Heading2"/>
        <w:rPr>
          <w:color w:val="auto"/>
          <w:lang w:val="ro-RO"/>
        </w:rPr>
      </w:pPr>
      <w:r w:rsidRPr="00BE61AF">
        <w:rPr>
          <w:color w:val="auto"/>
          <w:lang w:val="ro-RO"/>
        </w:rPr>
        <w:t>3.1. SERS – Surface-Enhanced Raman Scattering</w:t>
      </w:r>
    </w:p>
    <w:p w14:paraId="1E9475D3" w14:textId="77777777" w:rsidR="009D56A1" w:rsidRPr="00BE61AF" w:rsidRDefault="00580181">
      <w:pPr>
        <w:spacing w:after="120" w:line="360" w:lineRule="auto"/>
        <w:jc w:val="both"/>
        <w:rPr>
          <w:lang w:val="ro-RO"/>
        </w:rPr>
      </w:pPr>
      <w:r w:rsidRPr="00BE61AF">
        <w:rPr>
          <w:lang w:val="ro-RO"/>
        </w:rPr>
        <w:t>SERS (împrăștierea Raman amplificată de suprafață) a fost descoperită în 1974 de Martin Fleischmann și confirmată cuantic de Jeanmaire, Van Duyne, Albrecht și Creighton în 1977. Fenomenul constă în amplificarea drastică (până la 10⁸–10¹⁰ ori) a semnalului Raman al moleculelor adsorbite pe suprafețe metalice nanostructurate – în special aur (Au) și argint (Ag).</w:t>
      </w:r>
    </w:p>
    <w:p w14:paraId="4078D839" w14:textId="77777777" w:rsidR="009D56A1" w:rsidRPr="00BE61AF" w:rsidRDefault="00580181">
      <w:pPr>
        <w:spacing w:after="120" w:line="360" w:lineRule="auto"/>
        <w:jc w:val="both"/>
        <w:rPr>
          <w:lang w:val="ro-RO"/>
        </w:rPr>
      </w:pPr>
      <w:r w:rsidRPr="00BE61AF">
        <w:rPr>
          <w:lang w:val="ro-RO"/>
        </w:rPr>
        <w:t>Amplificarea SERS are două componente: (i) amplificarea electromagnetică (EM), dominantă, datorată câmpurilor electrice intense localizate în "hotspot"-urile plasmonice (joncțiunile dintre nanoparticule, vârfurile sau colțurile ascuțite); și (ii) amplificarea chimică, de câteva ordine de mărime, datorată transferului de sarcină între moleculă și metalul substrat. Factorul global de amplificare SERS poate depăși 10¹⁰, permițând chiar detecția moleculelor singulare.</w:t>
      </w:r>
    </w:p>
    <w:p w14:paraId="770BE1DD" w14:textId="77777777" w:rsidR="009D56A1" w:rsidRPr="00BE61AF" w:rsidRDefault="00580181">
      <w:pPr>
        <w:spacing w:after="120" w:line="360" w:lineRule="auto"/>
        <w:jc w:val="both"/>
        <w:rPr>
          <w:lang w:val="ro-RO"/>
        </w:rPr>
      </w:pPr>
      <w:r w:rsidRPr="00BE61AF">
        <w:rPr>
          <w:lang w:val="ro-RO"/>
        </w:rPr>
        <w:t xml:space="preserve">Substratele SERS includ nanoparticule coloidale de Au/Ag, suprafețe gravate nanometric, nanostructuri fabricate prin litografie cu fascicul de electroni și nanocompoziți metalici </w:t>
      </w:r>
      <w:r w:rsidRPr="00BE61AF">
        <w:rPr>
          <w:lang w:val="ro-RO"/>
        </w:rPr>
        <w:lastRenderedPageBreak/>
        <w:t>incorporați în matrici polimerice sau silicoase. Controlul precis al morfologiei nanoparticulelor (sfere, triunghiuri, stele, tije) permite ajustarea rezonanței plasmonice în domenii spectrale dorite, de la vizibil până la infraroșu apropiat.</w:t>
      </w:r>
    </w:p>
    <w:p w14:paraId="1DE4CF5A" w14:textId="77777777" w:rsidR="009D56A1" w:rsidRPr="00BE61AF" w:rsidRDefault="00580181">
      <w:pPr>
        <w:pStyle w:val="Heading2"/>
        <w:rPr>
          <w:color w:val="auto"/>
          <w:lang w:val="ro-RO"/>
        </w:rPr>
      </w:pPr>
      <w:r w:rsidRPr="00BE61AF">
        <w:rPr>
          <w:color w:val="auto"/>
          <w:lang w:val="ro-RO"/>
        </w:rPr>
        <w:t>3.2. TERS – Tip-Enhanced Raman Scattering</w:t>
      </w:r>
    </w:p>
    <w:p w14:paraId="6DF3711B" w14:textId="77777777" w:rsidR="009D56A1" w:rsidRPr="00BE61AF" w:rsidRDefault="00580181">
      <w:pPr>
        <w:spacing w:after="120" w:line="360" w:lineRule="auto"/>
        <w:jc w:val="both"/>
        <w:rPr>
          <w:lang w:val="ro-RO"/>
        </w:rPr>
      </w:pPr>
      <w:r w:rsidRPr="00BE61AF">
        <w:rPr>
          <w:lang w:val="ro-RO"/>
        </w:rPr>
        <w:t>TERS combină rezoluția spațială a microscopiei cu vârf scanant (STM/AFM) cu sensibilitatea chimică a spectroscopiei Raman, depășind limita de difracție optică (∼λ/2 ≈ 200–300 nm). Un vârf metalic ascuțit (Au, Ag sau platinăt cu Au) iluminat cu un laser focalizat generează o "antenă" nanooptică ce concentrează câmpul electromagnetic la apexul vârfului, cu dimensiuni de ordinul 10–20 nm.</w:t>
      </w:r>
    </w:p>
    <w:p w14:paraId="2F47089A" w14:textId="77777777" w:rsidR="009D56A1" w:rsidRPr="00BE61AF" w:rsidRDefault="00580181">
      <w:pPr>
        <w:spacing w:after="120" w:line="360" w:lineRule="auto"/>
        <w:jc w:val="both"/>
        <w:rPr>
          <w:lang w:val="ro-RO"/>
        </w:rPr>
      </w:pPr>
      <w:r w:rsidRPr="00BE61AF">
        <w:rPr>
          <w:lang w:val="ro-RO"/>
        </w:rPr>
        <w:t>TERS permite cartografierea chimică cu rezoluție sub-moleculară a suprafețelor, identificând defecte punctuale în grafen, modificări chimice locale în nanotuburi, distribuția liganzilor pe nanoparticule și stresul mecanic la interfețe nanometrice. Tehnica a demonstrat rezoluție de ∼1 nm în experimente ultravide (UHV-TERS), deschizând calea spre spectroscopia chimică cu rezoluție atomică.</w:t>
      </w:r>
    </w:p>
    <w:p w14:paraId="5321D615" w14:textId="77777777" w:rsidR="009D56A1" w:rsidRPr="00BE61AF" w:rsidRDefault="00580181">
      <w:pPr>
        <w:pStyle w:val="Heading2"/>
        <w:rPr>
          <w:color w:val="auto"/>
          <w:lang w:val="ro-RO"/>
        </w:rPr>
      </w:pPr>
      <w:r w:rsidRPr="00BE61AF">
        <w:rPr>
          <w:color w:val="auto"/>
          <w:lang w:val="ro-RO"/>
        </w:rPr>
        <w:t>3.3. Raman Confocal și Cartografierea Chimică</w:t>
      </w:r>
    </w:p>
    <w:p w14:paraId="541ED12C" w14:textId="77777777" w:rsidR="009D56A1" w:rsidRPr="00BE61AF" w:rsidRDefault="00580181">
      <w:pPr>
        <w:spacing w:after="120" w:line="360" w:lineRule="auto"/>
        <w:jc w:val="both"/>
        <w:rPr>
          <w:lang w:val="ro-RO"/>
        </w:rPr>
      </w:pPr>
      <w:r w:rsidRPr="00BE61AF">
        <w:rPr>
          <w:lang w:val="ro-RO"/>
        </w:rPr>
        <w:t>Microscopul Raman confocal utilizează un pinhole spatial pentru a elimina lumina provenind din afara planului focal, oferind rezoluție axială de ∼1–2 µm și rezoluție laterală de ∼300 nm. Cartografierea Raman implică înregistrarea unui spectru complet în fiecare pixel al unei grile, generând hărți chimice 2D sau 3D ale distribuției fazelor, stresului mecanic, compoziției și grosimii straturilor.</w:t>
      </w:r>
    </w:p>
    <w:p w14:paraId="3D4B7441" w14:textId="77777777" w:rsidR="009D56A1" w:rsidRPr="00BE61AF" w:rsidRDefault="00580181">
      <w:pPr>
        <w:spacing w:after="120" w:line="360" w:lineRule="auto"/>
        <w:jc w:val="both"/>
        <w:rPr>
          <w:lang w:val="ro-RO"/>
        </w:rPr>
      </w:pPr>
      <w:r w:rsidRPr="00BE61AF">
        <w:rPr>
          <w:lang w:val="ro-RO"/>
        </w:rPr>
        <w:t>Aplicațiile includ: identificarea distribuției fazelor în nanocompozite polimer-grafen, cartografierea stresului în dispozitive MEMS, studiul segregării în aliaje nanometrice și evaluarea uniformității depunerilor atomice (ALD). Timpii de achiziție au fost reduși considerabil prin tehnici de detecție rapidă (linescanning, wide-field Raman) și algoritmi de comprimare a datelor (compressed sensing).</w:t>
      </w:r>
    </w:p>
    <w:p w14:paraId="12B7B157" w14:textId="77777777" w:rsidR="009D56A1" w:rsidRPr="00BE61AF" w:rsidRDefault="00580181">
      <w:pPr>
        <w:rPr>
          <w:lang w:val="ro-RO"/>
        </w:rPr>
      </w:pPr>
      <w:r w:rsidRPr="00BE61AF">
        <w:rPr>
          <w:lang w:val="ro-RO"/>
        </w:rPr>
        <w:br w:type="page"/>
      </w:r>
    </w:p>
    <w:p w14:paraId="2C1B1446" w14:textId="77777777" w:rsidR="009D56A1" w:rsidRPr="00BE61AF" w:rsidRDefault="00580181">
      <w:pPr>
        <w:pStyle w:val="Heading1"/>
        <w:rPr>
          <w:color w:val="auto"/>
          <w:lang w:val="ro-RO"/>
        </w:rPr>
      </w:pPr>
      <w:r w:rsidRPr="00BE61AF">
        <w:rPr>
          <w:color w:val="auto"/>
          <w:lang w:val="ro-RO"/>
        </w:rPr>
        <w:lastRenderedPageBreak/>
        <w:t>4. Caracterizarea Nanomaterialelor prin Raman</w:t>
      </w:r>
    </w:p>
    <w:p w14:paraId="25E587B7" w14:textId="77777777" w:rsidR="009D56A1" w:rsidRPr="00BE61AF" w:rsidRDefault="00580181">
      <w:pPr>
        <w:spacing w:after="120" w:line="360" w:lineRule="auto"/>
        <w:jc w:val="both"/>
        <w:rPr>
          <w:lang w:val="ro-RO"/>
        </w:rPr>
      </w:pPr>
      <w:r w:rsidRPr="00BE61AF">
        <w:rPr>
          <w:lang w:val="ro-RO"/>
        </w:rPr>
        <w:t>Tabelul 2 prezintă benzile Raman caracteristice ale principalelor nanomateriale studiate în nanoinginerie modernă, împreună cu semnificația lor fizică și aplicațiile relevante.</w:t>
      </w:r>
    </w:p>
    <w:p w14:paraId="7194397D" w14:textId="77777777" w:rsidR="009D56A1" w:rsidRPr="00BE61AF" w:rsidRDefault="00580181">
      <w:pPr>
        <w:spacing w:before="160" w:after="80"/>
        <w:jc w:val="center"/>
        <w:rPr>
          <w:lang w:val="ro-RO"/>
        </w:rPr>
      </w:pPr>
      <w:r w:rsidRPr="00BE61AF">
        <w:rPr>
          <w:b/>
          <w:bCs/>
          <w:i/>
          <w:iCs/>
          <w:sz w:val="22"/>
          <w:szCs w:val="22"/>
          <w:lang w:val="ro-RO"/>
        </w:rPr>
        <w:t>Tabelul 2. Benzile Raman caracteristice ale nanomaterialelor frecvent studiate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000"/>
        <w:gridCol w:w="2263"/>
        <w:gridCol w:w="2263"/>
      </w:tblGrid>
      <w:tr w:rsidR="009D56A1" w:rsidRPr="00BE61AF" w14:paraId="181859AC" w14:textId="77777777">
        <w:tblPrEx>
          <w:tblCellMar>
            <w:top w:w="0" w:type="dxa"/>
            <w:bottom w:w="0" w:type="dxa"/>
          </w:tblCellMar>
        </w:tblPrEx>
        <w:trPr>
          <w:tblHeader/>
        </w:trPr>
        <w:tc>
          <w:tcPr>
            <w:tcW w:w="2500"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5E6E7196" w14:textId="77777777" w:rsidR="009D56A1" w:rsidRPr="00BE61AF" w:rsidRDefault="00580181">
            <w:pPr>
              <w:jc w:val="center"/>
              <w:rPr>
                <w:lang w:val="ro-RO"/>
              </w:rPr>
            </w:pPr>
            <w:r w:rsidRPr="00BE61AF">
              <w:rPr>
                <w:b/>
                <w:bCs/>
                <w:sz w:val="22"/>
                <w:szCs w:val="22"/>
                <w:lang w:val="ro-RO"/>
              </w:rPr>
              <w:t>Nanomaterial</w:t>
            </w:r>
          </w:p>
        </w:tc>
        <w:tc>
          <w:tcPr>
            <w:tcW w:w="2000"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4E086706" w14:textId="77777777" w:rsidR="009D56A1" w:rsidRPr="00BE61AF" w:rsidRDefault="00580181">
            <w:pPr>
              <w:jc w:val="center"/>
              <w:rPr>
                <w:lang w:val="ro-RO"/>
              </w:rPr>
            </w:pPr>
            <w:r w:rsidRPr="00BE61AF">
              <w:rPr>
                <w:b/>
                <w:bCs/>
                <w:sz w:val="22"/>
                <w:szCs w:val="22"/>
                <w:lang w:val="ro-RO"/>
              </w:rPr>
              <w:t>Benzile D/G (cm⁻¹)</w:t>
            </w:r>
          </w:p>
        </w:tc>
        <w:tc>
          <w:tcPr>
            <w:tcW w:w="2263"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336541B9" w14:textId="77777777" w:rsidR="009D56A1" w:rsidRPr="00BE61AF" w:rsidRDefault="00580181">
            <w:pPr>
              <w:jc w:val="center"/>
              <w:rPr>
                <w:lang w:val="ro-RO"/>
              </w:rPr>
            </w:pPr>
            <w:r w:rsidRPr="00BE61AF">
              <w:rPr>
                <w:b/>
                <w:bCs/>
                <w:sz w:val="22"/>
                <w:szCs w:val="22"/>
                <w:lang w:val="ro-RO"/>
              </w:rPr>
              <w:t>Semnificație</w:t>
            </w:r>
          </w:p>
        </w:tc>
        <w:tc>
          <w:tcPr>
            <w:tcW w:w="2263"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4E97294D" w14:textId="77777777" w:rsidR="009D56A1" w:rsidRPr="00BE61AF" w:rsidRDefault="00580181">
            <w:pPr>
              <w:jc w:val="center"/>
              <w:rPr>
                <w:lang w:val="ro-RO"/>
              </w:rPr>
            </w:pPr>
            <w:r w:rsidRPr="00BE61AF">
              <w:rPr>
                <w:b/>
                <w:bCs/>
                <w:sz w:val="22"/>
                <w:szCs w:val="22"/>
                <w:lang w:val="ro-RO"/>
              </w:rPr>
              <w:t>Referință aplicație</w:t>
            </w:r>
          </w:p>
        </w:tc>
      </w:tr>
      <w:tr w:rsidR="009D56A1" w:rsidRPr="00BE61AF" w14:paraId="4D209F3E" w14:textId="77777777">
        <w:tblPrEx>
          <w:tblCellMar>
            <w:top w:w="0" w:type="dxa"/>
            <w:bottom w:w="0" w:type="dxa"/>
          </w:tblCellMar>
        </w:tblPrEx>
        <w:tc>
          <w:tcPr>
            <w:tcW w:w="25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934E822" w14:textId="77777777" w:rsidR="009D56A1" w:rsidRPr="00BE61AF" w:rsidRDefault="00580181">
            <w:pPr>
              <w:rPr>
                <w:lang w:val="ro-RO"/>
              </w:rPr>
            </w:pPr>
            <w:r w:rsidRPr="00BE61AF">
              <w:rPr>
                <w:sz w:val="22"/>
                <w:szCs w:val="22"/>
                <w:lang w:val="ro-RO"/>
              </w:rPr>
              <w:t>Grafen monostrat</w:t>
            </w:r>
          </w:p>
        </w:tc>
        <w:tc>
          <w:tcPr>
            <w:tcW w:w="2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DBA5995" w14:textId="77777777" w:rsidR="009D56A1" w:rsidRPr="00BE61AF" w:rsidRDefault="00580181">
            <w:pPr>
              <w:rPr>
                <w:lang w:val="ro-RO"/>
              </w:rPr>
            </w:pPr>
            <w:r w:rsidRPr="00BE61AF">
              <w:rPr>
                <w:sz w:val="22"/>
                <w:szCs w:val="22"/>
                <w:lang w:val="ro-RO"/>
              </w:rPr>
              <w:t>~1350 / ~1580</w:t>
            </w:r>
          </w:p>
        </w:tc>
        <w:tc>
          <w:tcPr>
            <w:tcW w:w="226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710BA56F" w14:textId="77777777" w:rsidR="009D56A1" w:rsidRPr="00BE61AF" w:rsidRDefault="00580181">
            <w:pPr>
              <w:rPr>
                <w:lang w:val="ro-RO"/>
              </w:rPr>
            </w:pPr>
            <w:r w:rsidRPr="00BE61AF">
              <w:rPr>
                <w:sz w:val="22"/>
                <w:szCs w:val="22"/>
                <w:lang w:val="ro-RO"/>
              </w:rPr>
              <w:t>Defecte / sp² C–C</w:t>
            </w:r>
          </w:p>
        </w:tc>
        <w:tc>
          <w:tcPr>
            <w:tcW w:w="226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66D67A59" w14:textId="77777777" w:rsidR="009D56A1" w:rsidRPr="00BE61AF" w:rsidRDefault="00580181">
            <w:pPr>
              <w:rPr>
                <w:lang w:val="ro-RO"/>
              </w:rPr>
            </w:pPr>
            <w:r w:rsidRPr="00BE61AF">
              <w:rPr>
                <w:sz w:val="22"/>
                <w:szCs w:val="22"/>
                <w:lang w:val="ro-RO"/>
              </w:rPr>
              <w:t>Electronice flexibile</w:t>
            </w:r>
          </w:p>
        </w:tc>
      </w:tr>
      <w:tr w:rsidR="009D56A1" w:rsidRPr="00BE61AF" w14:paraId="7338B054" w14:textId="77777777">
        <w:tblPrEx>
          <w:tblCellMar>
            <w:top w:w="0" w:type="dxa"/>
            <w:bottom w:w="0" w:type="dxa"/>
          </w:tblCellMar>
        </w:tblPrEx>
        <w:tc>
          <w:tcPr>
            <w:tcW w:w="25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789F17A" w14:textId="77777777" w:rsidR="009D56A1" w:rsidRPr="00BE61AF" w:rsidRDefault="00580181">
            <w:pPr>
              <w:rPr>
                <w:lang w:val="ro-RO"/>
              </w:rPr>
            </w:pPr>
            <w:r w:rsidRPr="00BE61AF">
              <w:rPr>
                <w:sz w:val="22"/>
                <w:szCs w:val="22"/>
                <w:lang w:val="ro-RO"/>
              </w:rPr>
              <w:t>Nanotuburi de carbon (SWCNT)</w:t>
            </w:r>
          </w:p>
        </w:tc>
        <w:tc>
          <w:tcPr>
            <w:tcW w:w="2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201BB01" w14:textId="77777777" w:rsidR="009D56A1" w:rsidRPr="00BE61AF" w:rsidRDefault="00580181">
            <w:pPr>
              <w:rPr>
                <w:lang w:val="ro-RO"/>
              </w:rPr>
            </w:pPr>
            <w:r w:rsidRPr="00BE61AF">
              <w:rPr>
                <w:sz w:val="22"/>
                <w:szCs w:val="22"/>
                <w:lang w:val="ro-RO"/>
              </w:rPr>
              <w:t>~1350 / ~1590</w:t>
            </w:r>
          </w:p>
        </w:tc>
        <w:tc>
          <w:tcPr>
            <w:tcW w:w="226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76FB536" w14:textId="77777777" w:rsidR="009D56A1" w:rsidRPr="00BE61AF" w:rsidRDefault="00580181">
            <w:pPr>
              <w:rPr>
                <w:lang w:val="ro-RO"/>
              </w:rPr>
            </w:pPr>
            <w:r w:rsidRPr="00BE61AF">
              <w:rPr>
                <w:sz w:val="22"/>
                <w:szCs w:val="22"/>
                <w:lang w:val="ro-RO"/>
              </w:rPr>
              <w:t>Dezordine / grafit</w:t>
            </w:r>
          </w:p>
        </w:tc>
        <w:tc>
          <w:tcPr>
            <w:tcW w:w="226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338793AA" w14:textId="77777777" w:rsidR="009D56A1" w:rsidRPr="00BE61AF" w:rsidRDefault="00580181">
            <w:pPr>
              <w:rPr>
                <w:lang w:val="ro-RO"/>
              </w:rPr>
            </w:pPr>
            <w:r w:rsidRPr="00BE61AF">
              <w:rPr>
                <w:sz w:val="22"/>
                <w:szCs w:val="22"/>
                <w:lang w:val="ro-RO"/>
              </w:rPr>
              <w:t>Senzori biologici</w:t>
            </w:r>
          </w:p>
        </w:tc>
      </w:tr>
      <w:tr w:rsidR="009D56A1" w:rsidRPr="00BE61AF" w14:paraId="237992AC" w14:textId="77777777">
        <w:tblPrEx>
          <w:tblCellMar>
            <w:top w:w="0" w:type="dxa"/>
            <w:bottom w:w="0" w:type="dxa"/>
          </w:tblCellMar>
        </w:tblPrEx>
        <w:tc>
          <w:tcPr>
            <w:tcW w:w="25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60D182F8" w14:textId="77777777" w:rsidR="009D56A1" w:rsidRPr="00BE61AF" w:rsidRDefault="00580181">
            <w:pPr>
              <w:rPr>
                <w:lang w:val="ro-RO"/>
              </w:rPr>
            </w:pPr>
            <w:r w:rsidRPr="00BE61AF">
              <w:rPr>
                <w:sz w:val="22"/>
                <w:szCs w:val="22"/>
                <w:lang w:val="ro-RO"/>
              </w:rPr>
              <w:t>Nanoparticule Au</w:t>
            </w:r>
          </w:p>
        </w:tc>
        <w:tc>
          <w:tcPr>
            <w:tcW w:w="2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609A590E" w14:textId="77777777" w:rsidR="009D56A1" w:rsidRPr="00BE61AF" w:rsidRDefault="00580181">
            <w:pPr>
              <w:rPr>
                <w:lang w:val="ro-RO"/>
              </w:rPr>
            </w:pPr>
            <w:r w:rsidRPr="00BE61AF">
              <w:rPr>
                <w:sz w:val="22"/>
                <w:szCs w:val="22"/>
                <w:lang w:val="ro-RO"/>
              </w:rPr>
              <w:t>N/A (SERS)</w:t>
            </w:r>
          </w:p>
        </w:tc>
        <w:tc>
          <w:tcPr>
            <w:tcW w:w="226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1C575CAF" w14:textId="77777777" w:rsidR="009D56A1" w:rsidRPr="00BE61AF" w:rsidRDefault="00580181">
            <w:pPr>
              <w:rPr>
                <w:lang w:val="ro-RO"/>
              </w:rPr>
            </w:pPr>
            <w:r w:rsidRPr="00BE61AF">
              <w:rPr>
                <w:sz w:val="22"/>
                <w:szCs w:val="22"/>
                <w:lang w:val="ro-RO"/>
              </w:rPr>
              <w:t>Amplificare câmp EM</w:t>
            </w:r>
          </w:p>
        </w:tc>
        <w:tc>
          <w:tcPr>
            <w:tcW w:w="226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5E8B5CF2" w14:textId="77777777" w:rsidR="009D56A1" w:rsidRPr="00BE61AF" w:rsidRDefault="00580181">
            <w:pPr>
              <w:rPr>
                <w:lang w:val="ro-RO"/>
              </w:rPr>
            </w:pPr>
            <w:r w:rsidRPr="00BE61AF">
              <w:rPr>
                <w:sz w:val="22"/>
                <w:szCs w:val="22"/>
                <w:lang w:val="ro-RO"/>
              </w:rPr>
              <w:t>Diagnosticare cancer</w:t>
            </w:r>
          </w:p>
        </w:tc>
      </w:tr>
      <w:tr w:rsidR="009D56A1" w:rsidRPr="00BE61AF" w14:paraId="3FC1528C" w14:textId="77777777">
        <w:tblPrEx>
          <w:tblCellMar>
            <w:top w:w="0" w:type="dxa"/>
            <w:bottom w:w="0" w:type="dxa"/>
          </w:tblCellMar>
        </w:tblPrEx>
        <w:tc>
          <w:tcPr>
            <w:tcW w:w="25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9FC9366" w14:textId="77777777" w:rsidR="009D56A1" w:rsidRPr="00BE61AF" w:rsidRDefault="00580181">
            <w:pPr>
              <w:rPr>
                <w:lang w:val="ro-RO"/>
              </w:rPr>
            </w:pPr>
            <w:r w:rsidRPr="00BE61AF">
              <w:rPr>
                <w:sz w:val="22"/>
                <w:szCs w:val="22"/>
                <w:lang w:val="ro-RO"/>
              </w:rPr>
              <w:t>ZnO nanofir</w:t>
            </w:r>
          </w:p>
        </w:tc>
        <w:tc>
          <w:tcPr>
            <w:tcW w:w="2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39AF6B66" w14:textId="77777777" w:rsidR="009D56A1" w:rsidRPr="00BE61AF" w:rsidRDefault="00580181">
            <w:pPr>
              <w:rPr>
                <w:lang w:val="ro-RO"/>
              </w:rPr>
            </w:pPr>
            <w:r w:rsidRPr="00BE61AF">
              <w:rPr>
                <w:sz w:val="22"/>
                <w:szCs w:val="22"/>
                <w:lang w:val="ro-RO"/>
              </w:rPr>
              <w:t>~437 (E₂ high)</w:t>
            </w:r>
          </w:p>
        </w:tc>
        <w:tc>
          <w:tcPr>
            <w:tcW w:w="226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9B7FC80" w14:textId="77777777" w:rsidR="009D56A1" w:rsidRPr="00BE61AF" w:rsidRDefault="00580181">
            <w:pPr>
              <w:rPr>
                <w:lang w:val="ro-RO"/>
              </w:rPr>
            </w:pPr>
            <w:r w:rsidRPr="00BE61AF">
              <w:rPr>
                <w:sz w:val="22"/>
                <w:szCs w:val="22"/>
                <w:lang w:val="ro-RO"/>
              </w:rPr>
              <w:t>Mod fononic ZnO</w:t>
            </w:r>
          </w:p>
        </w:tc>
        <w:tc>
          <w:tcPr>
            <w:tcW w:w="226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425E892D" w14:textId="77777777" w:rsidR="009D56A1" w:rsidRPr="00BE61AF" w:rsidRDefault="00580181">
            <w:pPr>
              <w:rPr>
                <w:lang w:val="ro-RO"/>
              </w:rPr>
            </w:pPr>
            <w:r w:rsidRPr="00BE61AF">
              <w:rPr>
                <w:sz w:val="22"/>
                <w:szCs w:val="22"/>
                <w:lang w:val="ro-RO"/>
              </w:rPr>
              <w:t>Fotocataliză</w:t>
            </w:r>
          </w:p>
        </w:tc>
      </w:tr>
      <w:tr w:rsidR="009D56A1" w:rsidRPr="00BE61AF" w14:paraId="2FFEA77D" w14:textId="77777777">
        <w:tblPrEx>
          <w:tblCellMar>
            <w:top w:w="0" w:type="dxa"/>
            <w:bottom w:w="0" w:type="dxa"/>
          </w:tblCellMar>
        </w:tblPrEx>
        <w:tc>
          <w:tcPr>
            <w:tcW w:w="25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6889E78" w14:textId="77777777" w:rsidR="009D56A1" w:rsidRPr="00BE61AF" w:rsidRDefault="00580181">
            <w:pPr>
              <w:rPr>
                <w:lang w:val="ro-RO"/>
              </w:rPr>
            </w:pPr>
            <w:r w:rsidRPr="00BE61AF">
              <w:rPr>
                <w:sz w:val="22"/>
                <w:szCs w:val="22"/>
                <w:lang w:val="ro-RO"/>
              </w:rPr>
              <w:t>MoS₂ monostrat</w:t>
            </w:r>
          </w:p>
        </w:tc>
        <w:tc>
          <w:tcPr>
            <w:tcW w:w="2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2346B16" w14:textId="77777777" w:rsidR="009D56A1" w:rsidRPr="00BE61AF" w:rsidRDefault="00580181">
            <w:pPr>
              <w:rPr>
                <w:lang w:val="ro-RO"/>
              </w:rPr>
            </w:pPr>
            <w:r w:rsidRPr="00BE61AF">
              <w:rPr>
                <w:sz w:val="22"/>
                <w:szCs w:val="22"/>
                <w:lang w:val="ro-RO"/>
              </w:rPr>
              <w:t>~383 / ~408</w:t>
            </w:r>
          </w:p>
        </w:tc>
        <w:tc>
          <w:tcPr>
            <w:tcW w:w="226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5FFD10D1" w14:textId="77777777" w:rsidR="009D56A1" w:rsidRPr="00BE61AF" w:rsidRDefault="00580181">
            <w:pPr>
              <w:rPr>
                <w:lang w:val="ro-RO"/>
              </w:rPr>
            </w:pPr>
            <w:r w:rsidRPr="00BE61AF">
              <w:rPr>
                <w:sz w:val="22"/>
                <w:szCs w:val="22"/>
                <w:lang w:val="ro-RO"/>
              </w:rPr>
              <w:t>E²₂g / A₁g</w:t>
            </w:r>
          </w:p>
        </w:tc>
        <w:tc>
          <w:tcPr>
            <w:tcW w:w="226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0A7B1C70" w14:textId="77777777" w:rsidR="009D56A1" w:rsidRPr="00BE61AF" w:rsidRDefault="00580181">
            <w:pPr>
              <w:rPr>
                <w:lang w:val="ro-RO"/>
              </w:rPr>
            </w:pPr>
            <w:r w:rsidRPr="00BE61AF">
              <w:rPr>
                <w:sz w:val="22"/>
                <w:szCs w:val="22"/>
                <w:lang w:val="ro-RO"/>
              </w:rPr>
              <w:t>Tranzistori 2D</w:t>
            </w:r>
          </w:p>
        </w:tc>
      </w:tr>
      <w:tr w:rsidR="009D56A1" w:rsidRPr="00BE61AF" w14:paraId="3A93019A" w14:textId="77777777">
        <w:tblPrEx>
          <w:tblCellMar>
            <w:top w:w="0" w:type="dxa"/>
            <w:bottom w:w="0" w:type="dxa"/>
          </w:tblCellMar>
        </w:tblPrEx>
        <w:tc>
          <w:tcPr>
            <w:tcW w:w="25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576C4618" w14:textId="77777777" w:rsidR="009D56A1" w:rsidRPr="00BE61AF" w:rsidRDefault="00580181">
            <w:pPr>
              <w:rPr>
                <w:lang w:val="ro-RO"/>
              </w:rPr>
            </w:pPr>
            <w:r w:rsidRPr="00BE61AF">
              <w:rPr>
                <w:sz w:val="22"/>
                <w:szCs w:val="22"/>
                <w:lang w:val="ro-RO"/>
              </w:rPr>
              <w:t>TiO₂ nanopulbere</w:t>
            </w:r>
          </w:p>
        </w:tc>
        <w:tc>
          <w:tcPr>
            <w:tcW w:w="2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6FC9DED5" w14:textId="77777777" w:rsidR="009D56A1" w:rsidRPr="00BE61AF" w:rsidRDefault="00580181">
            <w:pPr>
              <w:rPr>
                <w:lang w:val="ro-RO"/>
              </w:rPr>
            </w:pPr>
            <w:r w:rsidRPr="00BE61AF">
              <w:rPr>
                <w:sz w:val="22"/>
                <w:szCs w:val="22"/>
                <w:lang w:val="ro-RO"/>
              </w:rPr>
              <w:t>~144 (Eg anatase)</w:t>
            </w:r>
          </w:p>
        </w:tc>
        <w:tc>
          <w:tcPr>
            <w:tcW w:w="226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2E768299" w14:textId="77777777" w:rsidR="009D56A1" w:rsidRPr="00BE61AF" w:rsidRDefault="00580181">
            <w:pPr>
              <w:rPr>
                <w:lang w:val="ro-RO"/>
              </w:rPr>
            </w:pPr>
            <w:r w:rsidRPr="00BE61AF">
              <w:rPr>
                <w:sz w:val="22"/>
                <w:szCs w:val="22"/>
                <w:lang w:val="ro-RO"/>
              </w:rPr>
              <w:t>Fază cristalină</w:t>
            </w:r>
          </w:p>
        </w:tc>
        <w:tc>
          <w:tcPr>
            <w:tcW w:w="226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37CECBE" w14:textId="77777777" w:rsidR="009D56A1" w:rsidRPr="00BE61AF" w:rsidRDefault="00580181">
            <w:pPr>
              <w:rPr>
                <w:lang w:val="ro-RO"/>
              </w:rPr>
            </w:pPr>
            <w:r w:rsidRPr="00BE61AF">
              <w:rPr>
                <w:sz w:val="22"/>
                <w:szCs w:val="22"/>
                <w:lang w:val="ro-RO"/>
              </w:rPr>
              <w:t>Celule solare</w:t>
            </w:r>
          </w:p>
        </w:tc>
      </w:tr>
    </w:tbl>
    <w:p w14:paraId="34B13CD9" w14:textId="77777777" w:rsidR="009D56A1" w:rsidRPr="00BE61AF" w:rsidRDefault="009D56A1">
      <w:pPr>
        <w:spacing w:after="200"/>
        <w:rPr>
          <w:lang w:val="ro-RO"/>
        </w:rPr>
      </w:pPr>
    </w:p>
    <w:p w14:paraId="0E782AC0" w14:textId="77777777" w:rsidR="009D56A1" w:rsidRPr="00BE61AF" w:rsidRDefault="00580181">
      <w:pPr>
        <w:pStyle w:val="Heading2"/>
        <w:rPr>
          <w:color w:val="auto"/>
          <w:lang w:val="ro-RO"/>
        </w:rPr>
      </w:pPr>
      <w:r w:rsidRPr="00BE61AF">
        <w:rPr>
          <w:color w:val="auto"/>
          <w:lang w:val="ro-RO"/>
        </w:rPr>
        <w:t>4.1. Grafen și Derivați</w:t>
      </w:r>
    </w:p>
    <w:p w14:paraId="330CBA07" w14:textId="77777777" w:rsidR="009D56A1" w:rsidRPr="00BE61AF" w:rsidRDefault="00580181">
      <w:pPr>
        <w:spacing w:after="120" w:line="360" w:lineRule="auto"/>
        <w:jc w:val="both"/>
        <w:rPr>
          <w:lang w:val="ro-RO"/>
        </w:rPr>
      </w:pPr>
      <w:r w:rsidRPr="00BE61AF">
        <w:rPr>
          <w:lang w:val="ro-RO"/>
        </w:rPr>
        <w:t>Grafenul – un singur strat atomic de carbon sp² dispus în rețea hexagonală – prezintă un spectru Raman extrem de informativ. Banda G (~1580 cm⁻¹) corespunde modului E₂g al rețelei hexagonale și este prezentă în toate formele de carbon sp². Banda D (~1350 cm⁻¹), activată de defecte, reflectă gradul de dezordine structurală; raportul I(D)/I(G) este utilizat pentru cuantificarea densității defectelor. Banda 2D (~2680 cm⁻¹) este sensibilă la numărul de straturi: într-un singur strat, are o singură componentă lo</w:t>
      </w:r>
      <w:r w:rsidRPr="00BE61AF">
        <w:rPr>
          <w:lang w:val="ro-RO"/>
        </w:rPr>
        <w:t>rentziană simetrică, în timp ce grafita prezintă o bandă 2D mai largă și asimetrică.</w:t>
      </w:r>
    </w:p>
    <w:p w14:paraId="0A4973D1" w14:textId="77777777" w:rsidR="009D56A1" w:rsidRPr="00BE61AF" w:rsidRDefault="00580181">
      <w:pPr>
        <w:spacing w:after="120" w:line="360" w:lineRule="auto"/>
        <w:jc w:val="both"/>
        <w:rPr>
          <w:lang w:val="ro-RO"/>
        </w:rPr>
      </w:pPr>
      <w:r w:rsidRPr="00BE61AF">
        <w:rPr>
          <w:lang w:val="ro-RO"/>
        </w:rPr>
        <w:t>Oxigrafen (GO) și oxigrafen redus (rGO) prezintă raportul I(D)/I(G) &gt; 1, indicând densitate ridicată de defecte introdusă prin oxidare. Monitoringul Raman al procesului de reducere termică sau chimice permite urmărirea în timp real a restaurării conjugării sp², esențială pentru aplicații electronice. Grafenul dopat cu heteroatomi (N, B) prezintă deplasări caracteristice ale benzilor G și D față de grafenul nativ, furnizând informații despre tipul de dopaj și distribuția atomilor dopanți.</w:t>
      </w:r>
    </w:p>
    <w:p w14:paraId="3EECC12A" w14:textId="77777777" w:rsidR="009D56A1" w:rsidRPr="00BE61AF" w:rsidRDefault="00580181">
      <w:pPr>
        <w:pStyle w:val="Heading2"/>
        <w:rPr>
          <w:color w:val="auto"/>
          <w:lang w:val="ro-RO"/>
        </w:rPr>
      </w:pPr>
      <w:r w:rsidRPr="00BE61AF">
        <w:rPr>
          <w:color w:val="auto"/>
          <w:lang w:val="ro-RO"/>
        </w:rPr>
        <w:t>4.2. Nanotuburi de Carbon</w:t>
      </w:r>
    </w:p>
    <w:p w14:paraId="1BBB307E" w14:textId="77777777" w:rsidR="009D56A1" w:rsidRPr="00BE61AF" w:rsidRDefault="00580181">
      <w:pPr>
        <w:spacing w:after="120" w:line="360" w:lineRule="auto"/>
        <w:jc w:val="both"/>
        <w:rPr>
          <w:lang w:val="ro-RO"/>
        </w:rPr>
      </w:pPr>
      <w:r w:rsidRPr="00BE61AF">
        <w:rPr>
          <w:lang w:val="ro-RO"/>
        </w:rPr>
        <w:t xml:space="preserve">Nanotuburile de carbon cu pereți unici (SWCNT) prezintă trei regiuni spectrale distinctive în Raman. Modurile de respirație radială (RBM, 100–300 cm⁻¹) sunt unice SWCNT și au </w:t>
      </w:r>
      <w:r w:rsidRPr="00BE61AF">
        <w:rPr>
          <w:lang w:val="ro-RO"/>
        </w:rPr>
        <w:lastRenderedPageBreak/>
        <w:t>frecvența invers proporțională cu diametrul tubului (ωRBM ≈ 248/d cm⁻¹), permițând determinarea diametrului și a chiralității. Benzile D și G (~1350 și ~1590 cm⁻¹) furnizează informații despre dezordine și hibridizare, iar banda G⁺ și G⁻ se deplasează diferit pentru tuburi metalice față de semiconductoare, permițând discriminarea electronică.</w:t>
      </w:r>
    </w:p>
    <w:p w14:paraId="77400924" w14:textId="77777777" w:rsidR="009D56A1" w:rsidRPr="00BE61AF" w:rsidRDefault="00580181">
      <w:pPr>
        <w:spacing w:after="120" w:line="360" w:lineRule="auto"/>
        <w:jc w:val="both"/>
        <w:rPr>
          <w:lang w:val="ro-RO"/>
        </w:rPr>
      </w:pPr>
      <w:r w:rsidRPr="00BE61AF">
        <w:rPr>
          <w:lang w:val="ro-RO"/>
        </w:rPr>
        <w:t>Nanotuburile multiwall (MWCNT) prezintă benzile D și G mai largi, cu contribuții din mai mulți pereți. Analiza Raman permite evaluarea purității loturilor sintetizate, a gradului de funcționalizare chimică (atacul covalent al pereților reduce intensitatea benzii G și crește D) și a stresului mecanic în compozite nanotub–polimer, informații cruciale pentru ingineria proprietăților mecanice și electrice.</w:t>
      </w:r>
    </w:p>
    <w:p w14:paraId="6EABB332" w14:textId="77777777" w:rsidR="009D56A1" w:rsidRPr="00BE61AF" w:rsidRDefault="00580181">
      <w:pPr>
        <w:pStyle w:val="Heading2"/>
        <w:rPr>
          <w:color w:val="auto"/>
          <w:lang w:val="ro-RO"/>
        </w:rPr>
      </w:pPr>
      <w:r w:rsidRPr="00BE61AF">
        <w:rPr>
          <w:color w:val="auto"/>
          <w:lang w:val="ro-RO"/>
        </w:rPr>
        <w:t>4.3. Nanoparticule Metalice și Semiconductoare</w:t>
      </w:r>
    </w:p>
    <w:p w14:paraId="4C066E96" w14:textId="77777777" w:rsidR="009D56A1" w:rsidRPr="00BE61AF" w:rsidRDefault="00580181">
      <w:pPr>
        <w:spacing w:after="120" w:line="360" w:lineRule="auto"/>
        <w:jc w:val="both"/>
        <w:rPr>
          <w:lang w:val="ro-RO"/>
        </w:rPr>
      </w:pPr>
      <w:r w:rsidRPr="00BE61AF">
        <w:rPr>
          <w:lang w:val="ro-RO"/>
        </w:rPr>
        <w:t>Nanoparticulele de oxid de zinc (ZnO) prezintă o bandă Raman intensă la ~437 cm⁻¹ (modul E₂ high) specifică fazei wurtzite. Raportul intensităților E₂/A₁(LO) este sensibil la concentrația defectelor și a dopanților, informație valoroasă pentru optimizarea fotocatalizatorilor și a senzorilor de gaz. Nanofirele ZnO prezintă lărgirea benzilor și deplasări datorate confinamentului fononic, cuantificabile prin modelul PCM.</w:t>
      </w:r>
    </w:p>
    <w:p w14:paraId="2DCD6036" w14:textId="77777777" w:rsidR="009D56A1" w:rsidRPr="00BE61AF" w:rsidRDefault="00580181">
      <w:pPr>
        <w:spacing w:after="120" w:line="360" w:lineRule="auto"/>
        <w:jc w:val="both"/>
        <w:rPr>
          <w:lang w:val="ro-RO"/>
        </w:rPr>
      </w:pPr>
      <w:r w:rsidRPr="00BE61AF">
        <w:rPr>
          <w:lang w:val="ro-RO"/>
        </w:rPr>
        <w:t>Dicalcogenurile de metale de tranziție (TMD), cum ar fi MoS₂, WS₂ și WSe₂, sunt materiale 2D cu bandă interzisă directă în forma monostrat, spre deosebire de bulkul cu bandă indirectă. Spectroscopia Raman este metoda de referință pentru determinarea numărului de straturi: separarea frecvențelor modurilor E²₂g și A₁g din MoS₂ scade de la ~25 cm⁻¹ (bulk) la ~18 cm⁻¹ (monostrat), permițând identificarea rapidă și neinvazivă a monostraturilorexfoliate mecanic sau sintetizate prin CVD.</w:t>
      </w:r>
    </w:p>
    <w:p w14:paraId="3AF0CACA" w14:textId="77777777" w:rsidR="009D56A1" w:rsidRPr="00BE61AF" w:rsidRDefault="00580181">
      <w:pPr>
        <w:spacing w:after="120" w:line="360" w:lineRule="auto"/>
        <w:jc w:val="both"/>
        <w:rPr>
          <w:lang w:val="ro-RO"/>
        </w:rPr>
      </w:pPr>
      <w:r w:rsidRPr="00BE61AF">
        <w:rPr>
          <w:lang w:val="ro-RO"/>
        </w:rPr>
        <w:t>Nanoparticulele de TiO₂ pot exista în trei faze cristaline (anatase, rutile, brookite) cu semnături Raman distincte. Banda Raman la 144 cm⁻¹ (Eg) este caracteristică fazei anatase, cea mai activă fotocatalitic, în timp ce rutilul prezintă banda dominantă la 447 cm⁻¹. Monitorizarea Raman permite urmărirea tranziției de fază indusă termic sau mecanic, esențială pentru optimizarea proceselor de sinteză a fotocatalizatorilor și a straturilor antireflexie în celule fotovoltaice.</w:t>
      </w:r>
    </w:p>
    <w:p w14:paraId="42A072B0" w14:textId="77777777" w:rsidR="009D56A1" w:rsidRPr="00BE61AF" w:rsidRDefault="00580181">
      <w:pPr>
        <w:rPr>
          <w:lang w:val="ro-RO"/>
        </w:rPr>
      </w:pPr>
      <w:r w:rsidRPr="00BE61AF">
        <w:rPr>
          <w:lang w:val="ro-RO"/>
        </w:rPr>
        <w:br w:type="page"/>
      </w:r>
    </w:p>
    <w:p w14:paraId="205C9278" w14:textId="77777777" w:rsidR="009D56A1" w:rsidRPr="00BE61AF" w:rsidRDefault="00580181">
      <w:pPr>
        <w:pStyle w:val="Heading1"/>
        <w:rPr>
          <w:color w:val="auto"/>
          <w:lang w:val="ro-RO"/>
        </w:rPr>
      </w:pPr>
      <w:r w:rsidRPr="00BE61AF">
        <w:rPr>
          <w:color w:val="auto"/>
          <w:lang w:val="ro-RO"/>
        </w:rPr>
        <w:lastRenderedPageBreak/>
        <w:t>5. Avantaje, Limitări și Perspective</w:t>
      </w:r>
    </w:p>
    <w:p w14:paraId="1A6BD8D7" w14:textId="77777777" w:rsidR="009D56A1" w:rsidRPr="00BE61AF" w:rsidRDefault="00580181">
      <w:pPr>
        <w:spacing w:after="120" w:line="360" w:lineRule="auto"/>
        <w:jc w:val="both"/>
        <w:rPr>
          <w:lang w:val="ro-RO"/>
        </w:rPr>
      </w:pPr>
      <w:r w:rsidRPr="00BE61AF">
        <w:rPr>
          <w:lang w:val="ro-RO"/>
        </w:rPr>
        <w:t>Tabelul 3 sintetizează principalele avantaje și limitări ale spectroscopiei Raman în contextul aplicațiilor din nanoinginerie, oferind o perspectivă echilibrată asupra utilității și constrângerilor tehnicii.</w:t>
      </w:r>
    </w:p>
    <w:p w14:paraId="366A8261" w14:textId="77777777" w:rsidR="009D56A1" w:rsidRPr="00BE61AF" w:rsidRDefault="00580181">
      <w:pPr>
        <w:spacing w:before="160" w:after="80"/>
        <w:jc w:val="center"/>
        <w:rPr>
          <w:lang w:val="ro-RO"/>
        </w:rPr>
      </w:pPr>
      <w:r w:rsidRPr="00BE61AF">
        <w:rPr>
          <w:b/>
          <w:bCs/>
          <w:i/>
          <w:iCs/>
          <w:sz w:val="22"/>
          <w:szCs w:val="22"/>
          <w:lang w:val="ro-RO"/>
        </w:rPr>
        <w:t>Tabelul 3. Avantaje și limitări ale spectroscopiei Raman în nanoinginerie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13"/>
        <w:gridCol w:w="3013"/>
      </w:tblGrid>
      <w:tr w:rsidR="009D56A1" w:rsidRPr="00BE61AF" w14:paraId="349A5300" w14:textId="77777777">
        <w:tblPrEx>
          <w:tblCellMar>
            <w:top w:w="0" w:type="dxa"/>
            <w:bottom w:w="0" w:type="dxa"/>
          </w:tblCellMar>
        </w:tblPrEx>
        <w:trPr>
          <w:tblHeader/>
        </w:trPr>
        <w:tc>
          <w:tcPr>
            <w:tcW w:w="3000"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2F1887A6" w14:textId="77777777" w:rsidR="009D56A1" w:rsidRPr="00BE61AF" w:rsidRDefault="00580181">
            <w:pPr>
              <w:jc w:val="center"/>
              <w:rPr>
                <w:lang w:val="ro-RO"/>
              </w:rPr>
            </w:pPr>
            <w:r w:rsidRPr="00BE61AF">
              <w:rPr>
                <w:b/>
                <w:bCs/>
                <w:sz w:val="22"/>
                <w:szCs w:val="22"/>
                <w:lang w:val="ro-RO"/>
              </w:rPr>
              <w:t>Criteriu</w:t>
            </w:r>
          </w:p>
        </w:tc>
        <w:tc>
          <w:tcPr>
            <w:tcW w:w="3013"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5B18BEEC" w14:textId="77777777" w:rsidR="009D56A1" w:rsidRPr="00BE61AF" w:rsidRDefault="00580181">
            <w:pPr>
              <w:jc w:val="center"/>
              <w:rPr>
                <w:lang w:val="ro-RO"/>
              </w:rPr>
            </w:pPr>
            <w:r w:rsidRPr="00BE61AF">
              <w:rPr>
                <w:b/>
                <w:bCs/>
                <w:sz w:val="22"/>
                <w:szCs w:val="22"/>
                <w:lang w:val="ro-RO"/>
              </w:rPr>
              <w:t>Avantaje</w:t>
            </w:r>
          </w:p>
        </w:tc>
        <w:tc>
          <w:tcPr>
            <w:tcW w:w="3013" w:type="dxa"/>
            <w:tcBorders>
              <w:top w:val="single" w:sz="8" w:space="0" w:color="1F3864"/>
              <w:left w:val="single" w:sz="8" w:space="0" w:color="1F3864"/>
              <w:bottom w:val="single" w:sz="8" w:space="0" w:color="1F3864"/>
              <w:right w:val="single" w:sz="8" w:space="0" w:color="1F3864"/>
            </w:tcBorders>
            <w:shd w:val="clear" w:color="auto" w:fill="1F3864"/>
            <w:tcMar>
              <w:top w:w="100" w:type="dxa"/>
              <w:left w:w="150" w:type="dxa"/>
              <w:bottom w:w="100" w:type="dxa"/>
              <w:right w:w="150" w:type="dxa"/>
            </w:tcMar>
            <w:vAlign w:val="center"/>
          </w:tcPr>
          <w:p w14:paraId="5F6158D8" w14:textId="77777777" w:rsidR="009D56A1" w:rsidRPr="00BE61AF" w:rsidRDefault="00580181">
            <w:pPr>
              <w:jc w:val="center"/>
              <w:rPr>
                <w:lang w:val="ro-RO"/>
              </w:rPr>
            </w:pPr>
            <w:r w:rsidRPr="00BE61AF">
              <w:rPr>
                <w:b/>
                <w:bCs/>
                <w:sz w:val="22"/>
                <w:szCs w:val="22"/>
                <w:lang w:val="ro-RO"/>
              </w:rPr>
              <w:t>Limitări</w:t>
            </w:r>
          </w:p>
        </w:tc>
      </w:tr>
      <w:tr w:rsidR="009D56A1" w:rsidRPr="00BE61AF" w14:paraId="31EB0C1D" w14:textId="77777777">
        <w:tblPrEx>
          <w:tblCellMar>
            <w:top w:w="0" w:type="dxa"/>
            <w:bottom w:w="0" w:type="dxa"/>
          </w:tblCellMar>
        </w:tblPrEx>
        <w:tc>
          <w:tcPr>
            <w:tcW w:w="3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F6EFC7F" w14:textId="77777777" w:rsidR="009D56A1" w:rsidRPr="00BE61AF" w:rsidRDefault="00580181">
            <w:pPr>
              <w:rPr>
                <w:lang w:val="ro-RO"/>
              </w:rPr>
            </w:pPr>
            <w:r w:rsidRPr="00BE61AF">
              <w:rPr>
                <w:sz w:val="22"/>
                <w:szCs w:val="22"/>
                <w:lang w:val="ro-RO"/>
              </w:rPr>
              <w:t>Preparare eșantion</w:t>
            </w:r>
          </w:p>
        </w:tc>
        <w:tc>
          <w:tcPr>
            <w:tcW w:w="301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7FD95146" w14:textId="77777777" w:rsidR="009D56A1" w:rsidRPr="00BE61AF" w:rsidRDefault="00580181">
            <w:pPr>
              <w:rPr>
                <w:lang w:val="ro-RO"/>
              </w:rPr>
            </w:pPr>
            <w:r w:rsidRPr="00BE61AF">
              <w:rPr>
                <w:sz w:val="22"/>
                <w:szCs w:val="22"/>
                <w:lang w:val="ro-RO"/>
              </w:rPr>
              <w:t>Nedistructivă, fără preparare specială</w:t>
            </w:r>
          </w:p>
        </w:tc>
        <w:tc>
          <w:tcPr>
            <w:tcW w:w="301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4F0FF306" w14:textId="77777777" w:rsidR="009D56A1" w:rsidRPr="00BE61AF" w:rsidRDefault="00580181">
            <w:pPr>
              <w:rPr>
                <w:lang w:val="ro-RO"/>
              </w:rPr>
            </w:pPr>
            <w:r w:rsidRPr="00BE61AF">
              <w:rPr>
                <w:sz w:val="22"/>
                <w:szCs w:val="22"/>
                <w:lang w:val="ro-RO"/>
              </w:rPr>
              <w:t>Fluorescență poate masca semnalul</w:t>
            </w:r>
          </w:p>
        </w:tc>
      </w:tr>
      <w:tr w:rsidR="009D56A1" w:rsidRPr="00BE61AF" w14:paraId="0EE141E0" w14:textId="77777777">
        <w:tblPrEx>
          <w:tblCellMar>
            <w:top w:w="0" w:type="dxa"/>
            <w:bottom w:w="0" w:type="dxa"/>
          </w:tblCellMar>
        </w:tblPrEx>
        <w:tc>
          <w:tcPr>
            <w:tcW w:w="3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213C93B2" w14:textId="77777777" w:rsidR="009D56A1" w:rsidRPr="00BE61AF" w:rsidRDefault="00580181">
            <w:pPr>
              <w:rPr>
                <w:lang w:val="ro-RO"/>
              </w:rPr>
            </w:pPr>
            <w:r w:rsidRPr="00BE61AF">
              <w:rPr>
                <w:sz w:val="22"/>
                <w:szCs w:val="22"/>
                <w:lang w:val="ro-RO"/>
              </w:rPr>
              <w:t>Rezoluție spațială</w:t>
            </w:r>
          </w:p>
        </w:tc>
        <w:tc>
          <w:tcPr>
            <w:tcW w:w="301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2BFAE15E" w14:textId="77777777" w:rsidR="009D56A1" w:rsidRPr="00BE61AF" w:rsidRDefault="00580181">
            <w:pPr>
              <w:rPr>
                <w:lang w:val="ro-RO"/>
              </w:rPr>
            </w:pPr>
            <w:r w:rsidRPr="00BE61AF">
              <w:rPr>
                <w:sz w:val="22"/>
                <w:szCs w:val="22"/>
                <w:lang w:val="ro-RO"/>
              </w:rPr>
              <w:t>SERS/TERS ajunge la nivel nanometric</w:t>
            </w:r>
          </w:p>
        </w:tc>
        <w:tc>
          <w:tcPr>
            <w:tcW w:w="301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52A4947C" w14:textId="77777777" w:rsidR="009D56A1" w:rsidRPr="00BE61AF" w:rsidRDefault="00580181">
            <w:pPr>
              <w:rPr>
                <w:lang w:val="ro-RO"/>
              </w:rPr>
            </w:pPr>
            <w:r w:rsidRPr="00BE61AF">
              <w:rPr>
                <w:sz w:val="22"/>
                <w:szCs w:val="22"/>
                <w:lang w:val="ro-RO"/>
              </w:rPr>
              <w:t>Costul echipamentelor avansate</w:t>
            </w:r>
          </w:p>
        </w:tc>
      </w:tr>
      <w:tr w:rsidR="009D56A1" w:rsidRPr="00BE61AF" w14:paraId="253350B2" w14:textId="77777777">
        <w:tblPrEx>
          <w:tblCellMar>
            <w:top w:w="0" w:type="dxa"/>
            <w:bottom w:w="0" w:type="dxa"/>
          </w:tblCellMar>
        </w:tblPrEx>
        <w:tc>
          <w:tcPr>
            <w:tcW w:w="3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72A8E645" w14:textId="77777777" w:rsidR="009D56A1" w:rsidRPr="00BE61AF" w:rsidRDefault="00580181">
            <w:pPr>
              <w:rPr>
                <w:lang w:val="ro-RO"/>
              </w:rPr>
            </w:pPr>
            <w:r w:rsidRPr="00BE61AF">
              <w:rPr>
                <w:sz w:val="22"/>
                <w:szCs w:val="22"/>
                <w:lang w:val="ro-RO"/>
              </w:rPr>
              <w:t>Sensibilitate</w:t>
            </w:r>
          </w:p>
        </w:tc>
        <w:tc>
          <w:tcPr>
            <w:tcW w:w="301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5496D23C" w14:textId="77777777" w:rsidR="009D56A1" w:rsidRPr="00BE61AF" w:rsidRDefault="00580181">
            <w:pPr>
              <w:rPr>
                <w:lang w:val="ro-RO"/>
              </w:rPr>
            </w:pPr>
            <w:r w:rsidRPr="00BE61AF">
              <w:rPr>
                <w:sz w:val="22"/>
                <w:szCs w:val="22"/>
                <w:lang w:val="ro-RO"/>
              </w:rPr>
              <w:t>SERS: detecție singură moleculă</w:t>
            </w:r>
          </w:p>
        </w:tc>
        <w:tc>
          <w:tcPr>
            <w:tcW w:w="301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390C3AAA" w14:textId="77777777" w:rsidR="009D56A1" w:rsidRPr="00BE61AF" w:rsidRDefault="00580181">
            <w:pPr>
              <w:rPr>
                <w:lang w:val="ro-RO"/>
              </w:rPr>
            </w:pPr>
            <w:r w:rsidRPr="00BE61AF">
              <w:rPr>
                <w:sz w:val="22"/>
                <w:szCs w:val="22"/>
                <w:lang w:val="ro-RO"/>
              </w:rPr>
              <w:t>Raman clasic: semnal slab</w:t>
            </w:r>
          </w:p>
        </w:tc>
      </w:tr>
      <w:tr w:rsidR="009D56A1" w:rsidRPr="00BE61AF" w14:paraId="4B8017A8" w14:textId="77777777">
        <w:tblPrEx>
          <w:tblCellMar>
            <w:top w:w="0" w:type="dxa"/>
            <w:bottom w:w="0" w:type="dxa"/>
          </w:tblCellMar>
        </w:tblPrEx>
        <w:tc>
          <w:tcPr>
            <w:tcW w:w="3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3CAB7456" w14:textId="77777777" w:rsidR="009D56A1" w:rsidRPr="00BE61AF" w:rsidRDefault="00580181">
            <w:pPr>
              <w:rPr>
                <w:lang w:val="ro-RO"/>
              </w:rPr>
            </w:pPr>
            <w:r w:rsidRPr="00BE61AF">
              <w:rPr>
                <w:sz w:val="22"/>
                <w:szCs w:val="22"/>
                <w:lang w:val="ro-RO"/>
              </w:rPr>
              <w:t>Versatilitate</w:t>
            </w:r>
          </w:p>
        </w:tc>
        <w:tc>
          <w:tcPr>
            <w:tcW w:w="301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189ADF83" w14:textId="77777777" w:rsidR="009D56A1" w:rsidRPr="00BE61AF" w:rsidRDefault="00580181">
            <w:pPr>
              <w:rPr>
                <w:lang w:val="ro-RO"/>
              </w:rPr>
            </w:pPr>
            <w:r w:rsidRPr="00BE61AF">
              <w:rPr>
                <w:sz w:val="22"/>
                <w:szCs w:val="22"/>
                <w:lang w:val="ro-RO"/>
              </w:rPr>
              <w:t>Analiză în medii apoase, gaze, solide</w:t>
            </w:r>
          </w:p>
        </w:tc>
        <w:tc>
          <w:tcPr>
            <w:tcW w:w="3013"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87D5705" w14:textId="77777777" w:rsidR="009D56A1" w:rsidRPr="00BE61AF" w:rsidRDefault="00580181">
            <w:pPr>
              <w:rPr>
                <w:lang w:val="ro-RO"/>
              </w:rPr>
            </w:pPr>
            <w:r w:rsidRPr="00BE61AF">
              <w:rPr>
                <w:sz w:val="22"/>
                <w:szCs w:val="22"/>
                <w:lang w:val="ro-RO"/>
              </w:rPr>
              <w:t>Interferențe termice la lasere puternice</w:t>
            </w:r>
          </w:p>
        </w:tc>
      </w:tr>
      <w:tr w:rsidR="009D56A1" w:rsidRPr="00BE61AF" w14:paraId="7D09500D" w14:textId="77777777">
        <w:tblPrEx>
          <w:tblCellMar>
            <w:top w:w="0" w:type="dxa"/>
            <w:bottom w:w="0" w:type="dxa"/>
          </w:tblCellMar>
        </w:tblPrEx>
        <w:tc>
          <w:tcPr>
            <w:tcW w:w="3000" w:type="dxa"/>
            <w:tcBorders>
              <w:top w:val="single" w:sz="6" w:space="0" w:color="2E5090"/>
              <w:left w:val="single" w:sz="6" w:space="0" w:color="2E5090"/>
              <w:bottom w:val="single" w:sz="6" w:space="0" w:color="2E5090"/>
              <w:right w:val="single" w:sz="6" w:space="0" w:color="2E5090"/>
            </w:tcBorders>
            <w:shd w:val="clear" w:color="auto" w:fill="FFFFFF"/>
            <w:tcMar>
              <w:top w:w="80" w:type="dxa"/>
              <w:left w:w="150" w:type="dxa"/>
              <w:bottom w:w="80" w:type="dxa"/>
              <w:right w:w="150" w:type="dxa"/>
            </w:tcMar>
          </w:tcPr>
          <w:p w14:paraId="0C1874C1" w14:textId="77777777" w:rsidR="009D56A1" w:rsidRPr="00BE61AF" w:rsidRDefault="00580181">
            <w:pPr>
              <w:rPr>
                <w:lang w:val="ro-RO"/>
              </w:rPr>
            </w:pPr>
            <w:r w:rsidRPr="00BE61AF">
              <w:rPr>
                <w:sz w:val="22"/>
                <w:szCs w:val="22"/>
                <w:lang w:val="ro-RO"/>
              </w:rPr>
              <w:t>Informație structurală</w:t>
            </w:r>
          </w:p>
        </w:tc>
        <w:tc>
          <w:tcPr>
            <w:tcW w:w="301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2143D918" w14:textId="77777777" w:rsidR="009D56A1" w:rsidRPr="00BE61AF" w:rsidRDefault="00580181">
            <w:pPr>
              <w:rPr>
                <w:lang w:val="ro-RO"/>
              </w:rPr>
            </w:pPr>
            <w:r w:rsidRPr="00BE61AF">
              <w:rPr>
                <w:sz w:val="22"/>
                <w:szCs w:val="22"/>
                <w:lang w:val="ro-RO"/>
              </w:rPr>
              <w:t>Informație vibratorie detaliată</w:t>
            </w:r>
          </w:p>
        </w:tc>
        <w:tc>
          <w:tcPr>
            <w:tcW w:w="3013" w:type="dxa"/>
            <w:tcBorders>
              <w:top w:val="single" w:sz="6" w:space="0" w:color="2E5090"/>
              <w:left w:val="single" w:sz="6" w:space="0" w:color="2E5090"/>
              <w:bottom w:val="single" w:sz="6" w:space="0" w:color="2E5090"/>
              <w:right w:val="single" w:sz="6" w:space="0" w:color="2E5090"/>
            </w:tcBorders>
            <w:shd w:val="clear" w:color="auto" w:fill="EBF5FB"/>
            <w:tcMar>
              <w:top w:w="80" w:type="dxa"/>
              <w:left w:w="150" w:type="dxa"/>
              <w:bottom w:w="80" w:type="dxa"/>
              <w:right w:w="150" w:type="dxa"/>
            </w:tcMar>
          </w:tcPr>
          <w:p w14:paraId="42EC4469" w14:textId="77777777" w:rsidR="009D56A1" w:rsidRPr="00BE61AF" w:rsidRDefault="00580181">
            <w:pPr>
              <w:rPr>
                <w:lang w:val="ro-RO"/>
              </w:rPr>
            </w:pPr>
            <w:r w:rsidRPr="00BE61AF">
              <w:rPr>
                <w:sz w:val="22"/>
                <w:szCs w:val="22"/>
                <w:lang w:val="ro-RO"/>
              </w:rPr>
              <w:t>Interpretare complexă a spectrelor</w:t>
            </w:r>
          </w:p>
        </w:tc>
      </w:tr>
    </w:tbl>
    <w:p w14:paraId="6950EFBE" w14:textId="77777777" w:rsidR="009D56A1" w:rsidRPr="00BE61AF" w:rsidRDefault="009D56A1">
      <w:pPr>
        <w:spacing w:after="200"/>
        <w:rPr>
          <w:lang w:val="ro-RO"/>
        </w:rPr>
      </w:pPr>
    </w:p>
    <w:p w14:paraId="610A30F3" w14:textId="77777777" w:rsidR="009D56A1" w:rsidRPr="00BE61AF" w:rsidRDefault="00580181">
      <w:pPr>
        <w:spacing w:after="120" w:line="360" w:lineRule="auto"/>
        <w:jc w:val="both"/>
        <w:rPr>
          <w:lang w:val="ro-RO"/>
        </w:rPr>
      </w:pPr>
      <w:r w:rsidRPr="00BE61AF">
        <w:rPr>
          <w:lang w:val="ro-RO"/>
        </w:rPr>
        <w:t>Spectroscopia Raman prezintă avantaje remarcabile pentru nanoinginerie: este nedistructivă, nu necesită pregătire specială a probelor, funcționează în medii apoase (avantaj major pentru biosenzori și sisteme biologice), oferă rezoluție chimică tridimensională în varianta confocală și poate fi miniaturizată în spectrometre portabile pentru monitorizare industrială în timp real.</w:t>
      </w:r>
    </w:p>
    <w:p w14:paraId="5F04CDD1" w14:textId="77777777" w:rsidR="009D56A1" w:rsidRPr="00BE61AF" w:rsidRDefault="00580181">
      <w:pPr>
        <w:spacing w:after="120" w:line="360" w:lineRule="auto"/>
        <w:jc w:val="both"/>
        <w:rPr>
          <w:lang w:val="ro-RO"/>
        </w:rPr>
      </w:pPr>
      <w:r w:rsidRPr="00BE61AF">
        <w:rPr>
          <w:lang w:val="ro-RO"/>
        </w:rPr>
        <w:t>Limitările principale includ semnalul Raman intrinsec slab (soluționat parțial prin SERS/TERS), interferența fluorescenței (minimizată prin excitare NIR sau tehnici de suprimare a fluorescenței), sensibilitatea la efecte de încălzire la lasere de putere mare și complexitatea interpretării spectrelor materialelor necunoscute fără baze de date de referință.</w:t>
      </w:r>
    </w:p>
    <w:p w14:paraId="5658A836" w14:textId="77777777" w:rsidR="009D56A1" w:rsidRPr="00BE61AF" w:rsidRDefault="00580181">
      <w:pPr>
        <w:spacing w:after="120" w:line="360" w:lineRule="auto"/>
        <w:jc w:val="both"/>
        <w:rPr>
          <w:lang w:val="ro-RO"/>
        </w:rPr>
      </w:pPr>
      <w:r w:rsidRPr="00BE61AF">
        <w:rPr>
          <w:lang w:val="ro-RO"/>
        </w:rPr>
        <w:t>Perspectivele viitoare ale domeniului includ: (i) integrarea Raman cu inteligența artificială pentru recunoașterea automată a spectrelor și diagnosticarea materialelor; (ii) spectroscopia Raman ultrarapidă (femtosecunde) pentru studiul dinamicii fonon-electron în nanostructuri; (iii) SERS la nivel de moleculă singulară pentru detecția biomarkerilor canceroși la concentrații ultrascăzute; (iv) Raman hiperspectral in vivo pentru aplicații biomedicale minimiv invazive; și (v) integrarea pe cipuri footonice (on</w:t>
      </w:r>
      <w:r w:rsidRPr="00BE61AF">
        <w:rPr>
          <w:lang w:val="ro-RO"/>
        </w:rPr>
        <w:t>-chip Raman) pentru dispozitive Lab-on-Chip de diagnosticare rapidă.</w:t>
      </w:r>
    </w:p>
    <w:p w14:paraId="25F5A5BD" w14:textId="765D2416" w:rsidR="00DF1240" w:rsidRPr="00BE61AF" w:rsidRDefault="00580181" w:rsidP="00DF1240">
      <w:pPr>
        <w:spacing w:after="120" w:line="360" w:lineRule="auto"/>
        <w:jc w:val="both"/>
        <w:rPr>
          <w:lang w:val="ro-RO"/>
        </w:rPr>
      </w:pPr>
      <w:r w:rsidRPr="00BE61AF">
        <w:rPr>
          <w:lang w:val="ro-RO"/>
        </w:rPr>
        <w:lastRenderedPageBreak/>
        <w:t>Convergența spectroscopiei Raman cu nanotehnologia deschide perspective excepționale pentru diagnosticare medicală, monitorizare de mediu, control de calitate industrial și cercetare fundamentală în fizica materiei condensate la scară nanometrică.</w:t>
      </w:r>
    </w:p>
    <w:p w14:paraId="3391AB15" w14:textId="669916F7" w:rsidR="009D56A1" w:rsidRPr="00BE61AF" w:rsidRDefault="00DF1240" w:rsidP="00DF1240">
      <w:pPr>
        <w:rPr>
          <w:lang w:val="ro-RO"/>
        </w:rPr>
      </w:pPr>
      <w:r w:rsidRPr="00BE61AF">
        <w:rPr>
          <w:lang w:val="ro-RO"/>
        </w:rPr>
        <w:br w:type="page"/>
      </w:r>
    </w:p>
    <w:p w14:paraId="5BE3FCC1" w14:textId="77777777" w:rsidR="009D56A1" w:rsidRPr="00BE61AF" w:rsidRDefault="00580181">
      <w:pPr>
        <w:pStyle w:val="Heading1"/>
        <w:rPr>
          <w:color w:val="auto"/>
          <w:lang w:val="ro-RO"/>
        </w:rPr>
      </w:pPr>
      <w:r w:rsidRPr="00BE61AF">
        <w:rPr>
          <w:color w:val="auto"/>
          <w:lang w:val="ro-RO"/>
        </w:rPr>
        <w:lastRenderedPageBreak/>
        <w:t>6. Concluzie</w:t>
      </w:r>
    </w:p>
    <w:p w14:paraId="546461B0" w14:textId="77777777" w:rsidR="009D56A1" w:rsidRPr="00BE61AF" w:rsidRDefault="00580181">
      <w:pPr>
        <w:spacing w:after="120" w:line="360" w:lineRule="auto"/>
        <w:jc w:val="both"/>
        <w:rPr>
          <w:lang w:val="ro-RO"/>
        </w:rPr>
      </w:pPr>
      <w:r w:rsidRPr="00BE61AF">
        <w:rPr>
          <w:lang w:val="ro-RO"/>
        </w:rPr>
        <w:t>Spectroscopia Raman s-a afirmat ca un instrument analitic de neînlocuit în nanoinginerie, oferind o fereastră unică în lumea vibratorie a nanomaterialelor. De la identificarea numărului de straturi în grafen la detecția moleculelor singulare prin SERS, tehnica a demonstrat o versatilitate și o putere informațională remarcabile.</w:t>
      </w:r>
    </w:p>
    <w:p w14:paraId="2A047428" w14:textId="77777777" w:rsidR="009D56A1" w:rsidRPr="00BE61AF" w:rsidRDefault="00580181">
      <w:pPr>
        <w:spacing w:after="120" w:line="360" w:lineRule="auto"/>
        <w:jc w:val="both"/>
        <w:rPr>
          <w:lang w:val="ro-RO"/>
        </w:rPr>
      </w:pPr>
      <w:r w:rsidRPr="00BE61AF">
        <w:rPr>
          <w:lang w:val="ro-RO"/>
        </w:rPr>
        <w:t>Analiza prezentată în acest proiect a evidențiat că principiile fizice ale efectului Raman – polarizabilitatea variabilă, regulile de selecție ale teoriei grupurilor și confinamentul fononic – formează fundamentul teoretic solid pe care se construiesc tehnicile avansate moderne. SERS și TERS au depășit bariera rezoluției optice clasice, deschizând domenii noi de cercetare la interfața dintre nanofizică, chimie analitică și biologie moleculară.</w:t>
      </w:r>
    </w:p>
    <w:p w14:paraId="07E8E67F" w14:textId="77777777" w:rsidR="009D56A1" w:rsidRPr="00BE61AF" w:rsidRDefault="00580181">
      <w:pPr>
        <w:spacing w:after="120" w:line="360" w:lineRule="auto"/>
        <w:jc w:val="both"/>
        <w:rPr>
          <w:lang w:val="ro-RO"/>
        </w:rPr>
      </w:pPr>
      <w:r w:rsidRPr="00BE61AF">
        <w:rPr>
          <w:lang w:val="ro-RO"/>
        </w:rPr>
        <w:t>Caracterizarea nanomaterialelor esențiale – grafen, nanotuburi de carbon, nanoparticule metalice și semiconductoare, dicalcogenuri de metale de tranziție – beneficiază direct de capacitățile unice ale Raman: informație structurală, evaluarea defectelor, identificarea fazelor cristaline și monitorizarea proceselor de sinteză. Tabelele comparative prezentate ilustrează diversitatea tehnicilor și a materialelor accesibile, subliniind maturitatea domeniului.</w:t>
      </w:r>
    </w:p>
    <w:p w14:paraId="0CDF3FF3" w14:textId="77777777" w:rsidR="009D56A1" w:rsidRPr="00BE61AF" w:rsidRDefault="00580181">
      <w:pPr>
        <w:spacing w:after="120" w:line="360" w:lineRule="auto"/>
        <w:jc w:val="both"/>
        <w:rPr>
          <w:lang w:val="ro-RO"/>
        </w:rPr>
      </w:pPr>
      <w:r w:rsidRPr="00BE61AF">
        <w:rPr>
          <w:lang w:val="ro-RO"/>
        </w:rPr>
        <w:t>Integrarea cu inteligența artificială, miniaturizarea echipamentelor și extinderea spre aplicații biomedicale și de diagnosticare in vivo reprezintă direcțiile de dezvoltare cu cel mai mare impact preconizat în deceniile următoare. Spectroscopia Raman va continua să fie un pilon fundamental al caracterizării nanomaterialelor, evoluând odată cu progresul nanotehnologiei și al știintei materialelor.</w:t>
      </w:r>
    </w:p>
    <w:p w14:paraId="6BA50E63" w14:textId="77777777" w:rsidR="009D56A1" w:rsidRPr="00BE61AF" w:rsidRDefault="00580181">
      <w:pPr>
        <w:spacing w:after="120" w:line="360" w:lineRule="auto"/>
        <w:jc w:val="both"/>
        <w:rPr>
          <w:lang w:val="ro-RO"/>
        </w:rPr>
      </w:pPr>
      <w:r w:rsidRPr="00BE61AF">
        <w:rPr>
          <w:lang w:val="ro-RO"/>
        </w:rPr>
        <w:t>În concluzie, stăpânirea spectroscopiei Raman și a tehnicilor sale derivate constituie o competență esențială pentru orice specialist în nanoinginerie, conectând rigoarea fundamentală a fizicii cuantice cu aplicațiile practice de vârf ale tehnologiei nanometrice contemporane.</w:t>
      </w:r>
    </w:p>
    <w:p w14:paraId="3625E640" w14:textId="77777777" w:rsidR="009D56A1" w:rsidRPr="00BE61AF" w:rsidRDefault="00580181">
      <w:pPr>
        <w:rPr>
          <w:lang w:val="ro-RO"/>
        </w:rPr>
      </w:pPr>
      <w:r w:rsidRPr="00BE61AF">
        <w:rPr>
          <w:lang w:val="ro-RO"/>
        </w:rPr>
        <w:br w:type="page"/>
      </w:r>
    </w:p>
    <w:p w14:paraId="66FEE982" w14:textId="77777777" w:rsidR="009D56A1" w:rsidRPr="00BE61AF" w:rsidRDefault="00580181">
      <w:pPr>
        <w:pStyle w:val="Heading1"/>
        <w:rPr>
          <w:color w:val="auto"/>
          <w:lang w:val="ro-RO"/>
        </w:rPr>
      </w:pPr>
      <w:r w:rsidRPr="00BE61AF">
        <w:rPr>
          <w:color w:val="auto"/>
          <w:lang w:val="ro-RO"/>
        </w:rPr>
        <w:lastRenderedPageBreak/>
        <w:t>Bibliografie</w:t>
      </w:r>
    </w:p>
    <w:p w14:paraId="5C510C46" w14:textId="77777777" w:rsidR="009D56A1" w:rsidRPr="00BE61AF" w:rsidRDefault="00580181">
      <w:pPr>
        <w:spacing w:before="60" w:after="60" w:line="360" w:lineRule="auto"/>
        <w:jc w:val="both"/>
        <w:rPr>
          <w:lang w:val="ro-RO"/>
        </w:rPr>
      </w:pPr>
      <w:r w:rsidRPr="00BE61AF">
        <w:rPr>
          <w:lang w:val="ro-RO"/>
        </w:rPr>
        <w:t>[1]  Smith, E., Dent, G. (2019). Modern Raman Spectroscopy – A Practical Approach. John Wiley &amp; Sons, Chichester, UK.</w:t>
      </w:r>
    </w:p>
    <w:p w14:paraId="2C50B06C" w14:textId="77777777" w:rsidR="009D56A1" w:rsidRPr="00BE61AF" w:rsidRDefault="00580181">
      <w:pPr>
        <w:spacing w:before="60" w:after="60" w:line="360" w:lineRule="auto"/>
        <w:jc w:val="both"/>
        <w:rPr>
          <w:lang w:val="ro-RO"/>
        </w:rPr>
      </w:pPr>
      <w:r w:rsidRPr="00BE61AF">
        <w:rPr>
          <w:lang w:val="ro-RO"/>
        </w:rPr>
        <w:t>[2]  Ferrari, A.C., Meyer, J.C., Scardaci, V. et al. (2006). Raman Spectrum of Graphene and Graphene Layers. Physical Review Letters, 97, 187401.</w:t>
      </w:r>
    </w:p>
    <w:p w14:paraId="2E8CF4A7" w14:textId="77777777" w:rsidR="009D56A1" w:rsidRPr="00BE61AF" w:rsidRDefault="00580181">
      <w:pPr>
        <w:spacing w:before="60" w:after="60" w:line="360" w:lineRule="auto"/>
        <w:jc w:val="both"/>
        <w:rPr>
          <w:lang w:val="ro-RO"/>
        </w:rPr>
      </w:pPr>
      <w:r w:rsidRPr="00BE61AF">
        <w:rPr>
          <w:lang w:val="ro-RO"/>
        </w:rPr>
        <w:t>[3]  Kneipp, K., Wang, Y., Kneipp, H. et al. (1997). Single Molecule Detection Using Surface-Enhanced Raman Scattering (SERS). Physical Review Letters, 78(9), 1667–1670.</w:t>
      </w:r>
    </w:p>
    <w:p w14:paraId="70928734" w14:textId="77777777" w:rsidR="009D56A1" w:rsidRPr="00BE61AF" w:rsidRDefault="00580181">
      <w:pPr>
        <w:spacing w:before="60" w:after="60" w:line="360" w:lineRule="auto"/>
        <w:jc w:val="both"/>
        <w:rPr>
          <w:lang w:val="ro-RO"/>
        </w:rPr>
      </w:pPr>
      <w:r w:rsidRPr="00BE61AF">
        <w:rPr>
          <w:lang w:val="ro-RO"/>
        </w:rPr>
        <w:t>[4]  Dresselhaus, M.S., Dresselhaus, G., Saito, R., Jorio, A. (2005). Raman spectroscopy of carbon nanotubes. Physics Reports, 409(2), 47–99.</w:t>
      </w:r>
    </w:p>
    <w:p w14:paraId="4059BC3E" w14:textId="77777777" w:rsidR="009D56A1" w:rsidRPr="00BE61AF" w:rsidRDefault="00580181">
      <w:pPr>
        <w:spacing w:before="60" w:after="60" w:line="360" w:lineRule="auto"/>
        <w:jc w:val="both"/>
        <w:rPr>
          <w:lang w:val="ro-RO"/>
        </w:rPr>
      </w:pPr>
      <w:r w:rsidRPr="00BE61AF">
        <w:rPr>
          <w:lang w:val="ro-RO"/>
        </w:rPr>
        <w:t>[5]  Stöckle, R.M., Suh, Y.D., Deckert, V., Zenobi, R. (2000). Nanoscale chemical analysis by tip-enhanced Raman spectroscopy. Chemical Physics Letters, 318(1–3), 131–136.</w:t>
      </w:r>
    </w:p>
    <w:p w14:paraId="4D977528" w14:textId="77777777" w:rsidR="009D56A1" w:rsidRPr="00BE61AF" w:rsidRDefault="00580181">
      <w:pPr>
        <w:spacing w:before="60" w:after="60" w:line="360" w:lineRule="auto"/>
        <w:jc w:val="both"/>
        <w:rPr>
          <w:lang w:val="ro-RO"/>
        </w:rPr>
      </w:pPr>
      <w:r w:rsidRPr="00BE61AF">
        <w:rPr>
          <w:lang w:val="ro-RO"/>
        </w:rPr>
        <w:t>[6]  Atkins, P., de Paula, J., Keeler, J. (2018). Atkins' Physical Chemistry (11th ed.). Oxford University Press, Oxford, UK.</w:t>
      </w:r>
    </w:p>
    <w:p w14:paraId="4676692E" w14:textId="77777777" w:rsidR="009D56A1" w:rsidRPr="00BE61AF" w:rsidRDefault="00580181">
      <w:pPr>
        <w:spacing w:before="60" w:after="60" w:line="360" w:lineRule="auto"/>
        <w:jc w:val="both"/>
        <w:rPr>
          <w:lang w:val="ro-RO"/>
        </w:rPr>
      </w:pPr>
      <w:r w:rsidRPr="00BE61AF">
        <w:rPr>
          <w:lang w:val="ro-RO"/>
        </w:rPr>
        <w:t>[7]  Tuinstra, F., Koenig, J.L. (1970). Raman Spectrum of Graphite. The Journal of Chemical Physics, 53(3), 1126–1130.</w:t>
      </w:r>
    </w:p>
    <w:p w14:paraId="47ADE7E5" w14:textId="77777777" w:rsidR="009D56A1" w:rsidRPr="00BE61AF" w:rsidRDefault="00580181">
      <w:pPr>
        <w:spacing w:before="60" w:after="60" w:line="360" w:lineRule="auto"/>
        <w:jc w:val="both"/>
        <w:rPr>
          <w:lang w:val="ro-RO"/>
        </w:rPr>
      </w:pPr>
      <w:r w:rsidRPr="00BE61AF">
        <w:rPr>
          <w:lang w:val="ro-RO"/>
        </w:rPr>
        <w:t>[8]  Le Ru, E.C., Etchegoin, P.G. (2008). Principles of Surface-Enhanced Raman Spectroscopy and Related Plasmonic Effects. Elsevier, Amsterdam, Netherlands.</w:t>
      </w:r>
    </w:p>
    <w:p w14:paraId="75A62264" w14:textId="77777777" w:rsidR="009D56A1" w:rsidRPr="00BE61AF" w:rsidRDefault="00580181">
      <w:pPr>
        <w:spacing w:before="60" w:after="60" w:line="360" w:lineRule="auto"/>
        <w:jc w:val="both"/>
        <w:rPr>
          <w:lang w:val="ro-RO"/>
        </w:rPr>
      </w:pPr>
      <w:r w:rsidRPr="00BE61AF">
        <w:rPr>
          <w:lang w:val="ro-RO"/>
        </w:rPr>
        <w:t>[9]  Chakraborty, B., Bera, A., Muthu, D.V.S. et al. (2012). Symmetry-dependent phonon renormalization in monolayer MoS₂ transistor. Physical Review B, 85(16), 161403(R).</w:t>
      </w:r>
    </w:p>
    <w:p w14:paraId="01824D3E" w14:textId="77777777" w:rsidR="009D56A1" w:rsidRPr="00BE61AF" w:rsidRDefault="00580181">
      <w:pPr>
        <w:spacing w:before="60" w:after="60" w:line="360" w:lineRule="auto"/>
        <w:jc w:val="both"/>
        <w:rPr>
          <w:lang w:val="ro-RO"/>
        </w:rPr>
      </w:pPr>
      <w:r w:rsidRPr="00BE61AF">
        <w:rPr>
          <w:lang w:val="ro-RO"/>
        </w:rPr>
        <w:t>[10] Jorio, A., Dresselhaus, M.S., Saito, R., Dresselhaus, G. (2011). Raman Spectroscopy in Graphene Related Systems. Wiley-VCH, Weinheim, Germany.</w:t>
      </w:r>
    </w:p>
    <w:p w14:paraId="7EDA0130" w14:textId="77777777" w:rsidR="009D56A1" w:rsidRPr="00BE61AF" w:rsidRDefault="00580181">
      <w:pPr>
        <w:spacing w:before="60" w:after="60" w:line="360" w:lineRule="auto"/>
        <w:jc w:val="both"/>
        <w:rPr>
          <w:lang w:val="ro-RO"/>
        </w:rPr>
      </w:pPr>
      <w:r w:rsidRPr="00BE61AF">
        <w:rPr>
          <w:lang w:val="ro-RO"/>
        </w:rPr>
        <w:t>[11] Zhang, R., Zhang, Y., Dong, Z.C. et al. (2013). Chemical mapping of a single molecule by plasmon-enhanced Raman scattering. Nature, 498, 82–86.</w:t>
      </w:r>
    </w:p>
    <w:p w14:paraId="0C6C7B17" w14:textId="77777777" w:rsidR="009D56A1" w:rsidRPr="00BE61AF" w:rsidRDefault="00580181">
      <w:pPr>
        <w:spacing w:before="60" w:after="60" w:line="360" w:lineRule="auto"/>
        <w:jc w:val="both"/>
        <w:rPr>
          <w:lang w:val="ro-RO"/>
        </w:rPr>
      </w:pPr>
      <w:r w:rsidRPr="00BE61AF">
        <w:rPr>
          <w:lang w:val="ro-RO"/>
        </w:rPr>
        <w:t>[12] Fleischmann, M., Hendra, P.J., McQuillan, A.J. (1974). Raman spectra of pyridine adsorbed at a silver electrode. Chemical Physics Letters, 26(2), 163–166.</w:t>
      </w:r>
    </w:p>
    <w:sectPr w:rsidR="009D56A1" w:rsidRPr="00BE61AF">
      <w:pgSz w:w="11906" w:h="16838"/>
      <w:pgMar w:top="1440" w:right="1440" w:bottom="1440"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9853" w14:textId="77777777" w:rsidR="00580181" w:rsidRDefault="00580181">
      <w:r>
        <w:separator/>
      </w:r>
    </w:p>
  </w:endnote>
  <w:endnote w:type="continuationSeparator" w:id="0">
    <w:p w14:paraId="31A34A04" w14:textId="77777777" w:rsidR="00580181" w:rsidRDefault="0058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181D" w14:textId="77777777" w:rsidR="00580181" w:rsidRDefault="00580181">
      <w:r>
        <w:separator/>
      </w:r>
    </w:p>
  </w:footnote>
  <w:footnote w:type="continuationSeparator" w:id="0">
    <w:p w14:paraId="28EE263A" w14:textId="77777777" w:rsidR="00580181" w:rsidRDefault="0058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7DD"/>
    <w:multiLevelType w:val="hybridMultilevel"/>
    <w:tmpl w:val="C03898A8"/>
    <w:lvl w:ilvl="0" w:tplc="DD76A292">
      <w:start w:val="1"/>
      <w:numFmt w:val="bullet"/>
      <w:lvlText w:val="●"/>
      <w:lvlJc w:val="left"/>
      <w:pPr>
        <w:ind w:left="720" w:hanging="360"/>
      </w:pPr>
    </w:lvl>
    <w:lvl w:ilvl="1" w:tplc="5DA87464">
      <w:start w:val="1"/>
      <w:numFmt w:val="bullet"/>
      <w:lvlText w:val="○"/>
      <w:lvlJc w:val="left"/>
      <w:pPr>
        <w:ind w:left="1440" w:hanging="360"/>
      </w:pPr>
    </w:lvl>
    <w:lvl w:ilvl="2" w:tplc="893E9B16">
      <w:start w:val="1"/>
      <w:numFmt w:val="bullet"/>
      <w:lvlText w:val="■"/>
      <w:lvlJc w:val="left"/>
      <w:pPr>
        <w:ind w:left="2160" w:hanging="360"/>
      </w:pPr>
    </w:lvl>
    <w:lvl w:ilvl="3" w:tplc="361C43DA">
      <w:start w:val="1"/>
      <w:numFmt w:val="bullet"/>
      <w:lvlText w:val="●"/>
      <w:lvlJc w:val="left"/>
      <w:pPr>
        <w:ind w:left="2880" w:hanging="360"/>
      </w:pPr>
    </w:lvl>
    <w:lvl w:ilvl="4" w:tplc="53C6351E">
      <w:start w:val="1"/>
      <w:numFmt w:val="bullet"/>
      <w:lvlText w:val="○"/>
      <w:lvlJc w:val="left"/>
      <w:pPr>
        <w:ind w:left="3600" w:hanging="360"/>
      </w:pPr>
    </w:lvl>
    <w:lvl w:ilvl="5" w:tplc="0CACA068">
      <w:start w:val="1"/>
      <w:numFmt w:val="bullet"/>
      <w:lvlText w:val="■"/>
      <w:lvlJc w:val="left"/>
      <w:pPr>
        <w:ind w:left="4320" w:hanging="360"/>
      </w:pPr>
    </w:lvl>
    <w:lvl w:ilvl="6" w:tplc="319A317A">
      <w:start w:val="1"/>
      <w:numFmt w:val="bullet"/>
      <w:lvlText w:val="●"/>
      <w:lvlJc w:val="left"/>
      <w:pPr>
        <w:ind w:left="5040" w:hanging="360"/>
      </w:pPr>
    </w:lvl>
    <w:lvl w:ilvl="7" w:tplc="83E21890">
      <w:start w:val="1"/>
      <w:numFmt w:val="bullet"/>
      <w:lvlText w:val="●"/>
      <w:lvlJc w:val="left"/>
      <w:pPr>
        <w:ind w:left="5760" w:hanging="360"/>
      </w:pPr>
    </w:lvl>
    <w:lvl w:ilvl="8" w:tplc="B3181BA8">
      <w:start w:val="1"/>
      <w:numFmt w:val="bullet"/>
      <w:lvlText w:val="●"/>
      <w:lvlJc w:val="left"/>
      <w:pPr>
        <w:ind w:left="6480" w:hanging="360"/>
      </w:pPr>
    </w:lvl>
  </w:abstractNum>
  <w:num w:numId="1" w16cid:durableId="10109166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A1"/>
    <w:rsid w:val="003A7D41"/>
    <w:rsid w:val="00580181"/>
    <w:rsid w:val="009D56A1"/>
    <w:rsid w:val="00BE61AF"/>
    <w:rsid w:val="00DF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CEDD"/>
  <w15:docId w15:val="{4E399038-C0C3-4196-9FDF-68302B38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F3864"/>
      <w:sz w:val="32"/>
      <w:szCs w:val="32"/>
    </w:rPr>
  </w:style>
  <w:style w:type="paragraph" w:styleId="Heading2">
    <w:name w:val="heading 2"/>
    <w:uiPriority w:val="9"/>
    <w:unhideWhenUsed/>
    <w:qFormat/>
    <w:pPr>
      <w:spacing w:before="300" w:after="160"/>
      <w:outlineLvl w:val="1"/>
    </w:pPr>
    <w:rPr>
      <w:b/>
      <w:bCs/>
      <w:color w:val="2E5090"/>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F1240"/>
    <w:pPr>
      <w:tabs>
        <w:tab w:val="center" w:pos="4680"/>
        <w:tab w:val="right" w:pos="9360"/>
      </w:tabs>
    </w:pPr>
  </w:style>
  <w:style w:type="character" w:customStyle="1" w:styleId="HeaderChar">
    <w:name w:val="Header Char"/>
    <w:basedOn w:val="DefaultParagraphFont"/>
    <w:link w:val="Header"/>
    <w:uiPriority w:val="99"/>
    <w:rsid w:val="00DF1240"/>
  </w:style>
  <w:style w:type="paragraph" w:styleId="Footer">
    <w:name w:val="footer"/>
    <w:basedOn w:val="Normal"/>
    <w:link w:val="FooterChar"/>
    <w:uiPriority w:val="99"/>
    <w:unhideWhenUsed/>
    <w:rsid w:val="00DF1240"/>
    <w:pPr>
      <w:tabs>
        <w:tab w:val="center" w:pos="4680"/>
        <w:tab w:val="right" w:pos="9360"/>
      </w:tabs>
    </w:pPr>
  </w:style>
  <w:style w:type="character" w:customStyle="1" w:styleId="FooterChar">
    <w:name w:val="Footer Char"/>
    <w:basedOn w:val="DefaultParagraphFont"/>
    <w:link w:val="Footer"/>
    <w:uiPriority w:val="99"/>
    <w:rsid w:val="00DF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Vadim Rabii</cp:lastModifiedBy>
  <cp:revision>2</cp:revision>
  <dcterms:created xsi:type="dcterms:W3CDTF">2026-05-27T20:45:00Z</dcterms:created>
  <dcterms:modified xsi:type="dcterms:W3CDTF">2026-05-27T20:45:00Z</dcterms:modified>
</cp:coreProperties>
</file>