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D9" w:rsidRPr="007862E0" w:rsidRDefault="00480ED9" w:rsidP="00480ED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 w:eastAsia="ru-RU"/>
        </w:rPr>
        <w:t>Примечание</w:t>
      </w:r>
    </w:p>
    <w:p w:rsidR="00480ED9" w:rsidRPr="007862E0" w:rsidRDefault="00480ED9" w:rsidP="00480ED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Общий обзор законодательства Республики Молдова в сфере интеллектуальной собственности</w:t>
      </w:r>
    </w:p>
    <w:p w:rsidR="00480ED9" w:rsidRPr="007862E0" w:rsidRDefault="00480ED9" w:rsidP="00480E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После провозглашения своей независимости и до настоящего времени в Молдове была создана и консолидирована комплексная нормативная база по интеллектуальной собственности, которая включает национальное законодательство и международные договоры в области интеллектуальной собственности, стороной которых является Молдова.</w:t>
      </w:r>
    </w:p>
    <w:p w:rsidR="00480ED9" w:rsidRPr="007862E0" w:rsidRDefault="00480ED9" w:rsidP="00480E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Национальное законодательство в данной области непрерывно развивалось параллельно с интегрированием страны во всемирную экономическую систему. Так, вступлению Молдовы в 2001 году во Всемирную торговую организацию (ВТО) предшествовало внесение изменений в 1997-2000 годах в законы о защите объектов интеллектуальной собственности (изобретения, сорта растений, промышленные рисунки и модели, товарные знаки и наименования мест происхождения, топографии интегральных схем, объекты, защищаемые авторским и смежными правами), а также в гражданское и административное законодательство. Тем самым правовая база была приведена в соответствие с требованиями, предусмотренными Соглашением по торговым аспектам прав интеллектуальной собственности (Соглашение ТРИПС). В том же контексте в 2007 году был принят ряд поправок в Уголовный кодекс, которые предусматривали уголовные наказания в случае нарушения прав интеллектуальной собственности.</w:t>
      </w:r>
    </w:p>
    <w:p w:rsidR="00480ED9" w:rsidRPr="007862E0" w:rsidRDefault="00480ED9" w:rsidP="00480E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После 2007 года вся нормативная база, относящаяся к данной области, была пересмотрена в соответствии с соглашениями между Республикой Молдова и Европейским Союзом в целях гармонизации законодательства с европейскими стандартами, обеспечения уровня защиты и соблюдения прав интеллектуальной собственности, равного существующему в ЕС уровню.</w:t>
      </w:r>
    </w:p>
    <w:p w:rsidR="00480ED9" w:rsidRPr="007862E0" w:rsidRDefault="00480ED9" w:rsidP="00480E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Были приняты в новой редакции шесть специальных законов, гармонизованных с законодательством Европейского Союза, которые регулируют охрану объектов промышленной собственности и произведений, защищаемых авторским и смежными правами, а именно:</w:t>
      </w:r>
    </w:p>
    <w:p w:rsidR="00480ED9" w:rsidRPr="007862E0" w:rsidRDefault="00480ED9" w:rsidP="00480E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Закон об охране промышленных рисунков и моделей № 161-XVI от 12 июля 2007 г.</w:t>
      </w:r>
    </w:p>
    <w:p w:rsidR="00480ED9" w:rsidRPr="007862E0" w:rsidRDefault="00480ED9" w:rsidP="00480E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Закон об охране товарных знаков № 38-XVI от 29 февраля 2008 г.;</w:t>
      </w:r>
    </w:p>
    <w:p w:rsidR="00480ED9" w:rsidRPr="007862E0" w:rsidRDefault="00480ED9" w:rsidP="00480E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Закон об охране сортов растений № 39-XVI от 29 февраля 2008 г.;</w:t>
      </w:r>
    </w:p>
    <w:p w:rsidR="00480ED9" w:rsidRPr="007862E0" w:rsidRDefault="00480ED9" w:rsidP="00480E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Закон об охране изобретений № 50-XVI от 7 марта 2008 г.;</w:t>
      </w:r>
    </w:p>
    <w:p w:rsidR="00480ED9" w:rsidRPr="007862E0" w:rsidRDefault="00480ED9" w:rsidP="00480E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Закон об охране географических указаний, наименований мест происхождения и гарантированных традиционных продуктов № 66-XVI от 27 марта 2008 г.;</w:t>
      </w:r>
    </w:p>
    <w:p w:rsidR="00480ED9" w:rsidRPr="007862E0" w:rsidRDefault="00480ED9" w:rsidP="00480E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Закон об авторском праве и смежных правах № 139-XVI от 2 июля 2010 г.</w:t>
      </w:r>
    </w:p>
    <w:p w:rsidR="00480ED9" w:rsidRPr="007862E0" w:rsidRDefault="00480ED9" w:rsidP="00480ED9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В законах в области интеллектуальной собственности была также учтена Директива Европейского Парламента и Совета 2004/48/СЕ от 29 апреля 2004 года о защите прав на интеллектуальную собственность. Нормативную базу в данной области дополняет Закон об охране топографий интегральных схем № 655-XVI от 29 октября 1999 г., а также Закон об утверждении национальных символов, соответствующих охраняемым географическим указаниям, охраняемым наименованиям мест происхождения и гарантированным традиционным продуктам № 101 от 12 июня 2014 г., разработанные в соответствии с международным законодательством.</w:t>
      </w:r>
    </w:p>
    <w:p w:rsidR="00480ED9" w:rsidRPr="007862E0" w:rsidRDefault="00480ED9" w:rsidP="00480ED9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Вступление в силу новых законов повлекло за собой ряд действий, обеспечивающих приведение действующего законодательства в соответствие с их положениями, а также их практическое применение. В этих целях были разработаны и утверждены Правительством положения по применению этих законов, а также внесены поправки в другие законодательные акты.</w:t>
      </w:r>
    </w:p>
    <w:p w:rsidR="00480ED9" w:rsidRPr="007862E0" w:rsidRDefault="00480ED9" w:rsidP="00480ED9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В настоящее время национальная нормативная база в области интеллектуальной собственности приведена в соответствие как с международными нормами, так и с нормами Европейского Союза. Для того чтобы соответствовать постоянным изменениям, 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связанным с эволюцией в области интеллектуальной собственности, в стране продолжается непрерывный процесс гармонизации законодательства. В частности, в 2015 г. был принят пакет поправок в законодательство, регулирующее охрану промышленных рисунков и моделей, товарных знаков, сортов растений, а также изобретений.</w:t>
      </w:r>
    </w:p>
    <w:p w:rsidR="00480ED9" w:rsidRPr="007862E0" w:rsidRDefault="00480ED9" w:rsidP="00480ED9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До настоящего времени Республика Молдова присоединилась к основным международным и региональным организациям, а также к более чем 30 международным договорам в области интеллектуальной собственности, администрируемым Всемирной организацией интеллектуальной собственности (ВОИС), Международным союзом по охране новых сортов растений (УПОВ), Всемирной торговой организацией (ВТО) и Организацией Объединенных Наций по вопросам образования, науки и культуры (ЮНЕСКО). Кроме того, Молдова является участником основных соглашений, заключенных в рамках СНГ.</w:t>
      </w:r>
    </w:p>
    <w:p w:rsidR="00480ED9" w:rsidRPr="007862E0" w:rsidRDefault="00480ED9" w:rsidP="00480ED9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Регулятором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 в сфере интеллектуальной собственности в Молдове является </w:t>
      </w:r>
      <w:hyperlink r:id="rId6" w:tgtFrame="_blank" w:history="1">
        <w:r w:rsidRPr="007862E0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Государственное агентство по интеллектуальной собственности (AGEPI)</w:t>
        </w:r>
      </w:hyperlink>
      <w:r w:rsidRPr="007862E0">
        <w:rPr>
          <w:rFonts w:ascii="Times New Roman" w:hAnsi="Times New Roman" w:cs="Times New Roman"/>
          <w:sz w:val="24"/>
          <w:szCs w:val="24"/>
          <w:lang w:eastAsia="ru-RU"/>
        </w:rPr>
        <w:t>. Агентство, которому принадлежит центральная роль в этой системе, является независимым в принятии решений по правовой охране объектов интеллектуальной собственности. В 2015 г. прошла административная реформа AGEPI, в рамках которой оно было реорганизовано из государственного предприятия в публичное учреждение, подведомственное Правительству.</w:t>
      </w: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Среди основных функций AGEPI</w:t>
      </w: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стратегическое планирование и реализация целей по развитию национальной системы интеллектуальной собственности; организация и управление этой системой; обеспечение продвижения инициатив по совершенствованию нормативной базы.</w:t>
      </w:r>
    </w:p>
    <w:p w:rsidR="00480ED9" w:rsidRPr="007862E0" w:rsidRDefault="00480ED9" w:rsidP="00480ED9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Государственное агентство по интеллектуальной собственности наделено следующими полномочиями:</w:t>
      </w:r>
    </w:p>
    <w:p w:rsidR="00480ED9" w:rsidRPr="007862E0" w:rsidRDefault="00480ED9" w:rsidP="00480E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принятие и экспертиза заявок на предоставление охраны, предоставление права на охрану и выдача от имени государства охранных документов на объекты интеллектуальной собственности;</w:t>
      </w:r>
    </w:p>
    <w:p w:rsidR="00480ED9" w:rsidRPr="007862E0" w:rsidRDefault="00480ED9" w:rsidP="00480E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управление, хранение и развитие баз данных в области интеллектуальной собственности;</w:t>
      </w:r>
    </w:p>
    <w:p w:rsidR="00480ED9" w:rsidRPr="007862E0" w:rsidRDefault="00480ED9" w:rsidP="00480E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разработка, согласование и выполнение программ и соглашений о сотрудничестве с другими странами и международными организациями в своей области деятельности;</w:t>
      </w:r>
    </w:p>
    <w:p w:rsidR="00480ED9" w:rsidRPr="007862E0" w:rsidRDefault="00480ED9" w:rsidP="00480E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обеспечение непрерывной подготовки и совершенствования специалистов в области интеллектуальной собственности, в том числе патентоведов, патентных поверенных и оценщиков;</w:t>
      </w:r>
    </w:p>
    <w:p w:rsidR="00480ED9" w:rsidRPr="007862E0" w:rsidRDefault="00480ED9" w:rsidP="00480E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издательская деятельность, включая выпуск Официального бюллетеня интеллектуальной собственности и других профильных изданий;</w:t>
      </w:r>
    </w:p>
    <w:p w:rsidR="00480ED9" w:rsidRPr="007862E0" w:rsidRDefault="00480ED9" w:rsidP="00480E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разработка и утверждение инструкций и других процедурных актов в области интеллектуальной собственности;</w:t>
      </w:r>
    </w:p>
    <w:p w:rsidR="00480ED9" w:rsidRPr="007862E0" w:rsidRDefault="00480ED9" w:rsidP="00480E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мониторинг деятельности Комиссии по рассмотрению возражений, Комиссии по медиации и Специализированного арбитража в области интеллектуальной собственности;</w:t>
      </w:r>
    </w:p>
    <w:p w:rsidR="00480ED9" w:rsidRPr="007862E0" w:rsidRDefault="00480ED9" w:rsidP="00480E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организация выставок, симпозиумов, конференций, других национальных и международных мероприятий в области интеллектуальной собственности и участие в них;</w:t>
      </w:r>
    </w:p>
    <w:p w:rsidR="00480ED9" w:rsidRPr="007862E0" w:rsidRDefault="00480ED9" w:rsidP="00480E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предоставление по запросу услуг и консультаций в области интеллектуальной собственности;</w:t>
      </w:r>
    </w:p>
    <w:p w:rsidR="00480ED9" w:rsidRPr="007862E0" w:rsidRDefault="00480ED9" w:rsidP="00480E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регистрация лицензионных договоров, договоров об уступке, залоге и франчайзинге прав на объекты промышленной собственности;</w:t>
      </w:r>
    </w:p>
    <w:p w:rsidR="00480ED9" w:rsidRPr="007862E0" w:rsidRDefault="00480ED9" w:rsidP="00480E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публикация данных по заявкам в области интеллектуальной собственности и охранным документам;</w:t>
      </w:r>
    </w:p>
    <w:p w:rsidR="00480ED9" w:rsidRPr="007862E0" w:rsidRDefault="00480ED9" w:rsidP="00480E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учет, хранение и пополнение коллекции документов и специализированной литературы в области интеллектуальной собственности;</w:t>
      </w:r>
    </w:p>
    <w:p w:rsidR="00480ED9" w:rsidRPr="007862E0" w:rsidRDefault="00480ED9" w:rsidP="00480E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документальные исследования в области промышленной собственности (по запросу, за плату);</w:t>
      </w:r>
    </w:p>
    <w:p w:rsidR="00480ED9" w:rsidRPr="007862E0" w:rsidRDefault="00480ED9" w:rsidP="00480E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принятие и рассмотрение заявок и необходимых документов для регистрации заявителей в Государственном регистре получателей контрольных марок;</w:t>
      </w:r>
    </w:p>
    <w:p w:rsidR="00480ED9" w:rsidRPr="007862E0" w:rsidRDefault="00480ED9" w:rsidP="00480E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выдача контрольных марок зарегистрированным в AGEPI обладателям прав на соответствующие экземпляры произведений или фонограмм;</w:t>
      </w:r>
    </w:p>
    <w:p w:rsidR="00480ED9" w:rsidRPr="007862E0" w:rsidRDefault="00480ED9" w:rsidP="00480E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осуществление по запросу компетентных органов экспертизы экземпляров произведений и фонограмм и оформление отчетов о научно-технической оценке и экспертизе;</w:t>
      </w:r>
    </w:p>
    <w:p w:rsidR="00480ED9" w:rsidRPr="007862E0" w:rsidRDefault="00480ED9" w:rsidP="00480E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выдача заключений, мониторинг и надзор за деятельностью организаций по коллективному управлению авторским правом и/или смежными правами.</w:t>
      </w:r>
    </w:p>
    <w:p w:rsidR="00480ED9" w:rsidRPr="007862E0" w:rsidRDefault="00480ED9" w:rsidP="00480E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Кроме того, в полномочия AGEPI входит управление и хранение следующих национальных регистров:</w:t>
      </w:r>
    </w:p>
    <w:p w:rsidR="00480ED9" w:rsidRPr="007862E0" w:rsidRDefault="00480ED9" w:rsidP="00480ED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национальный регистр поданных заявок,</w:t>
      </w:r>
    </w:p>
    <w:p w:rsidR="00480ED9" w:rsidRPr="007862E0" w:rsidRDefault="00480ED9" w:rsidP="00480ED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национальные регистры охранных документов, предоставляемых на изобретения, сорта растений, топографии интегральных схем, товарные знаки, промышленные рисунки и модели, национальные регистры охраняемых географических указаний, охраняемых наименований мест происхождения, гарантированных традиционных продуктов,</w:t>
      </w:r>
    </w:p>
    <w:p w:rsidR="00480ED9" w:rsidRPr="007862E0" w:rsidRDefault="00480ED9" w:rsidP="00480ED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государственный регистр объектов, охраняемых авторским правом и смежными правами,</w:t>
      </w:r>
    </w:p>
    <w:p w:rsidR="00480ED9" w:rsidRPr="007862E0" w:rsidRDefault="00480ED9" w:rsidP="00480ED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национальные регистры лицензионных договоров, договоров об уступке, залоге и франчайзинге прав на объекты промышленной собственности,</w:t>
      </w:r>
    </w:p>
    <w:p w:rsidR="00480ED9" w:rsidRPr="007862E0" w:rsidRDefault="00480ED9" w:rsidP="00480ED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государственный регистр получателей контрольных марок,</w:t>
      </w:r>
    </w:p>
    <w:p w:rsidR="00480ED9" w:rsidRPr="007862E0" w:rsidRDefault="00480ED9" w:rsidP="00480ED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национальные регистры патентных поверенных и оценщиков в области интеллектуальной собственности.</w:t>
      </w:r>
    </w:p>
    <w:p w:rsidR="00480ED9" w:rsidRPr="007862E0" w:rsidRDefault="00480ED9" w:rsidP="00480E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В составе AGEPI работает </w:t>
      </w:r>
      <w:r w:rsidRPr="007862E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Комиссия по рассмотрению возражений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 – специализированный орган, в компетенцию которого входит внесудебное рассмотрение поданных возражений против решений о регистрации/патентовании или об отказе в регистрации/патентовании объектов интеллектуальной собственности. Решения, принятые Комиссией по рассмотрению возражений AGEPI, могут быть обжалованы сторонами в судебную инстанцию в порядке и сроки, установленные законодательством.</w:t>
      </w:r>
    </w:p>
    <w:p w:rsidR="00480ED9" w:rsidRPr="007862E0" w:rsidRDefault="00480ED9" w:rsidP="00480E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В соответствии с положениями Закона об авторском праве и смежных правах № 139 от 2 июля 2010 года AGEPI создал </w:t>
      </w:r>
      <w:r w:rsidRPr="007862E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Комиссию по медиации в области интеллектуальной собственности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, которая рассматривает и решает споры, отнесенные к ее компетенции, в том числе споры в области коллективного управления авторским правом и смежными правами. Стороны могут прибегнуть к медиации добровольно, в том числе после возбуждения процесса в судебной инстанции или арбитраже.</w:t>
      </w:r>
    </w:p>
    <w:p w:rsidR="00480ED9" w:rsidRPr="007862E0" w:rsidRDefault="00480ED9" w:rsidP="00480E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В 2003 году при AGEPI был создан </w:t>
      </w:r>
      <w:r w:rsidRPr="007862E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Специализированный арбитраж в области интеллектуальной собственности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. Арбитраж решает споры, которые вытекают из договорных отношений и из других отношений гражданского права в процессе осуществления деятельности, связанной с интеллектуальной собственностью.</w:t>
      </w:r>
    </w:p>
    <w:p w:rsidR="00480ED9" w:rsidRPr="007862E0" w:rsidRDefault="00480ED9" w:rsidP="00480E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С 2008 г. в качестве консультативного органа при Правительстве работает </w:t>
      </w:r>
      <w:r w:rsidRPr="007862E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Национальная комиссия по интеллектуальной собственности (НКИС)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. В ее состав входят ответственные лица из следующих учреждений: AGEPI, Академии наук Молдовы, Министерства экономики, Министерства юстиции, МВД, Министерства информационных технологий и связи, Таможенной службы, Национального центра по борьбе с коррупцией и др. НКИС возглавляет заместитель премьер-министра Республики Молдова, являющийся одновременно министром экономики.</w:t>
      </w:r>
    </w:p>
    <w:p w:rsidR="00480ED9" w:rsidRPr="007862E0" w:rsidRDefault="00480ED9" w:rsidP="00480E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НКИС отвечает за координацию и обеспечение взаимодействия министерств, других центральных административных органов, а также обладателей прав на интеллектуальную собственность в таких областях как развитие национальной системы интеллектуальной собственности, пресечение и предупреждение нарушений в этой области и борьба с контрафакцией, импортом и коммерциализацией поддельных товаров в Молдове. При НКИС созданы ряд рабочих групп с участием представителей профильных учреждений, правообладателей, организаций по коллективному управлению, деловой среды.</w:t>
      </w:r>
    </w:p>
    <w:p w:rsidR="00480ED9" w:rsidRPr="007862E0" w:rsidRDefault="00480ED9" w:rsidP="00480ED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Смотри:</w:t>
      </w:r>
      <w:r w:rsidRPr="007862E0">
        <w:rPr>
          <w:rFonts w:ascii="Times New Roman" w:hAnsi="Times New Roman" w:cs="Times New Roman"/>
          <w:sz w:val="24"/>
          <w:szCs w:val="24"/>
        </w:rPr>
        <w:t xml:space="preserve"> </w:t>
      </w:r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https://libertarium.ru/copyrightlaw-md  Об авторском праве и смежных правах</w:t>
      </w:r>
    </w:p>
    <w:p w:rsidR="00480ED9" w:rsidRPr="007862E0" w:rsidRDefault="00480ED9" w:rsidP="00480ED9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Закон Республики Молдова N 293-XIII от 23 ноября 1994 г.</w:t>
      </w:r>
    </w:p>
    <w:p w:rsidR="00480ED9" w:rsidRPr="007862E0" w:rsidRDefault="00480ED9" w:rsidP="00480ED9">
      <w:pPr>
        <w:pStyle w:val="a3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С изменениями, внесенными Законом N 1009-XIII от 22.10.96г.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br/>
        <w:t>С изменениями и дополнениями, внесенными Законом N 29-XIV от 28.05.98г.</w:t>
      </w:r>
    </w:p>
    <w:p w:rsidR="00480ED9" w:rsidRPr="007862E0" w:rsidRDefault="00480ED9" w:rsidP="00480ED9">
      <w:pPr>
        <w:pStyle w:val="a3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80ED9" w:rsidRPr="007862E0" w:rsidRDefault="00480ED9" w:rsidP="00480E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>Кодекс о науке и инновациях Республики Молдова № 259-XV от 15.07.2004</w:t>
      </w: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ab/>
        <w:t>http://lex.justice.md/viewdoc.php?action=view&amp;view=doc&amp;id=286236&amp;lang=2</w:t>
      </w:r>
    </w:p>
    <w:p w:rsidR="00480ED9" w:rsidRPr="007862E0" w:rsidRDefault="00480ED9" w:rsidP="00480E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>Постановление Правительства Республики Молдова № 325 от 02.06.2015 о реорганизации государственного предприятия «Государственное агентство по интеллектуальной собственности»</w:t>
      </w: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ab/>
        <w:t>http://lex.justice.md/viewdoc.php?action=view&amp;view=doc&amp;id=359127&amp;lang=2</w:t>
      </w:r>
    </w:p>
    <w:p w:rsidR="00480ED9" w:rsidRPr="007862E0" w:rsidRDefault="00480ED9" w:rsidP="00480E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>Постановление Правительства Республики Молдова № 489 от 29.03.2008 о Национальной комиссии по интеллектуальной собственности</w:t>
      </w: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ab/>
        <w:t>http://lex.justice.md/viewdoc.php?action=view&amp;view=doc&amp;id=327593&amp;lang=2</w:t>
      </w:r>
    </w:p>
    <w:p w:rsidR="00480ED9" w:rsidRPr="007862E0" w:rsidRDefault="00480ED9" w:rsidP="00480E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>Постановление Правительства Республики Молдова № 880 от 22 ноября 2012 г. о Национальной стратегии в области интеллектуальной собственности до 2020 года</w:t>
      </w: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ab/>
        <w:t>http://lex.justice.md/viewdoc.php?action=view&amp;view=doc&amp;id=345660&amp;lang=2</w:t>
      </w:r>
    </w:p>
    <w:p w:rsidR="00480ED9" w:rsidRPr="007862E0" w:rsidRDefault="00480ED9" w:rsidP="00480E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>Постановление правительства № 491 от 11.08.2015 об утверждении Плана мероприятий на 2015-2017 годы по внедрению Национальной стратегии в области интеллектуальной собственности до 2020 года</w:t>
      </w: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ab/>
        <w:t>http://lex.justice.md/viewdoc.php?action=view&amp;view=doc&amp;id=360480&amp;lang=2</w:t>
      </w:r>
    </w:p>
    <w:p w:rsidR="00480ED9" w:rsidRPr="007862E0" w:rsidRDefault="00480ED9" w:rsidP="00480ED9">
      <w:pPr>
        <w:pStyle w:val="a3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80ED9" w:rsidRPr="007862E0" w:rsidRDefault="00480ED9" w:rsidP="00480ED9">
      <w:pPr>
        <w:pStyle w:val="a3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80ED9" w:rsidRPr="007862E0" w:rsidRDefault="00480ED9" w:rsidP="00480ED9">
      <w:pPr>
        <w:pStyle w:val="a3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80ED9" w:rsidRPr="007862E0" w:rsidRDefault="00480ED9" w:rsidP="00480ED9">
      <w:pPr>
        <w:pStyle w:val="a3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80ED9" w:rsidRPr="007862E0" w:rsidRDefault="00480ED9" w:rsidP="00480ED9">
      <w:pPr>
        <w:pStyle w:val="a3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80ED9" w:rsidRPr="007862E0" w:rsidRDefault="00480ED9" w:rsidP="00480ED9">
      <w:pPr>
        <w:pStyle w:val="a3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80ED9" w:rsidRPr="007862E0" w:rsidRDefault="00480ED9" w:rsidP="00480ED9">
      <w:pPr>
        <w:pStyle w:val="a3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80ED9" w:rsidRPr="007862E0" w:rsidRDefault="00480ED9" w:rsidP="00480ED9">
      <w:pPr>
        <w:pStyle w:val="a3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80ED9" w:rsidRDefault="00480ED9" w:rsidP="00480ED9">
      <w:pPr>
        <w:pStyle w:val="a3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80ED9" w:rsidRDefault="00480ED9" w:rsidP="00480ED9">
      <w:pPr>
        <w:pStyle w:val="a3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80ED9" w:rsidRDefault="00480ED9" w:rsidP="00480ED9">
      <w:pPr>
        <w:pStyle w:val="a3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80ED9" w:rsidRDefault="00480ED9" w:rsidP="00480ED9">
      <w:pPr>
        <w:pStyle w:val="a3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80ED9" w:rsidRDefault="00480ED9" w:rsidP="00480ED9">
      <w:pPr>
        <w:pStyle w:val="a3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80ED9" w:rsidRDefault="00480ED9" w:rsidP="00480ED9">
      <w:pPr>
        <w:pStyle w:val="a3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80ED9" w:rsidRDefault="00480ED9" w:rsidP="00480ED9">
      <w:pPr>
        <w:pStyle w:val="a3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80ED9" w:rsidRDefault="00480ED9" w:rsidP="00480ED9">
      <w:pPr>
        <w:pStyle w:val="a3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80ED9" w:rsidRDefault="00480ED9" w:rsidP="00480ED9">
      <w:pPr>
        <w:pStyle w:val="a3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80ED9" w:rsidRDefault="00480ED9" w:rsidP="00480ED9">
      <w:pPr>
        <w:pStyle w:val="a3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80ED9" w:rsidRDefault="00480ED9" w:rsidP="00480ED9">
      <w:pPr>
        <w:pStyle w:val="a3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80ED9" w:rsidRDefault="00480ED9" w:rsidP="00480ED9">
      <w:pPr>
        <w:pStyle w:val="a3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80ED9" w:rsidRDefault="00480ED9" w:rsidP="00480ED9">
      <w:pPr>
        <w:pStyle w:val="a3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80ED9" w:rsidRDefault="00480ED9" w:rsidP="00480ED9">
      <w:pPr>
        <w:pStyle w:val="a3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80ED9" w:rsidRDefault="00480ED9" w:rsidP="00480ED9">
      <w:pPr>
        <w:pStyle w:val="a3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80ED9" w:rsidRDefault="00480ED9" w:rsidP="00480ED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17634F">
        <w:rPr>
          <w:rFonts w:ascii="Times New Roman" w:hAnsi="Times New Roman" w:cs="Times New Roman"/>
          <w:b/>
          <w:sz w:val="24"/>
          <w:szCs w:val="24"/>
          <w:lang w:val="ru-RU" w:eastAsia="ru-RU"/>
        </w:rPr>
        <w:t>Библиография</w:t>
      </w:r>
    </w:p>
    <w:p w:rsidR="00480ED9" w:rsidRDefault="00480ED9" w:rsidP="00480ED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480ED9" w:rsidRDefault="00480ED9" w:rsidP="00480ED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480ED9" w:rsidRPr="0017634F" w:rsidRDefault="00480ED9" w:rsidP="00480ED9">
      <w:pPr>
        <w:widowControl/>
        <w:numPr>
          <w:ilvl w:val="0"/>
          <w:numId w:val="5"/>
        </w:numPr>
        <w:autoSpaceDE/>
        <w:autoSpaceDN/>
        <w:spacing w:after="160" w:line="228" w:lineRule="auto"/>
        <w:contextualSpacing/>
        <w:jc w:val="both"/>
        <w:rPr>
          <w:sz w:val="24"/>
          <w:szCs w:val="24"/>
          <w:lang w:val="en-US" w:eastAsia="ru-RU"/>
        </w:rPr>
      </w:pPr>
      <w:r w:rsidRPr="0017634F">
        <w:rPr>
          <w:sz w:val="24"/>
          <w:szCs w:val="24"/>
          <w:lang w:val="en-US" w:eastAsia="ru-RU"/>
        </w:rPr>
        <w:t>Androniceanu, Armenia, „Noutăti în managementul public”, Editura UNIVERSITARĂ, Bucureşti, 2003.</w:t>
      </w:r>
    </w:p>
    <w:p w:rsidR="00480ED9" w:rsidRPr="0017634F" w:rsidRDefault="00480ED9" w:rsidP="00480ED9">
      <w:pPr>
        <w:widowControl/>
        <w:numPr>
          <w:ilvl w:val="0"/>
          <w:numId w:val="5"/>
        </w:numPr>
        <w:autoSpaceDE/>
        <w:autoSpaceDN/>
        <w:spacing w:after="160" w:line="228" w:lineRule="auto"/>
        <w:contextualSpacing/>
        <w:jc w:val="both"/>
        <w:rPr>
          <w:sz w:val="24"/>
          <w:szCs w:val="24"/>
          <w:lang w:val="en-US" w:eastAsia="ru-RU"/>
        </w:rPr>
      </w:pPr>
      <w:r w:rsidRPr="0017634F">
        <w:rPr>
          <w:sz w:val="24"/>
          <w:szCs w:val="24"/>
          <w:lang w:val="en-US" w:eastAsia="ru-RU"/>
        </w:rPr>
        <w:t xml:space="preserve">Carta UTM din 24.04.2018 </w:t>
      </w:r>
      <w:hyperlink r:id="rId7" w:history="1">
        <w:r w:rsidRPr="0017634F">
          <w:rPr>
            <w:color w:val="0000FF"/>
            <w:sz w:val="24"/>
            <w:szCs w:val="24"/>
            <w:u w:val="single"/>
            <w:lang w:val="en-US" w:eastAsia="ru-RU"/>
          </w:rPr>
          <w:t>https://utm.md/wp-content/uploads/2019/04/Carta-UTM_2018-finala.pdf</w:t>
        </w:r>
      </w:hyperlink>
      <w:r w:rsidRPr="0017634F">
        <w:rPr>
          <w:sz w:val="24"/>
          <w:szCs w:val="24"/>
          <w:lang w:val="en-US" w:eastAsia="ru-RU"/>
        </w:rPr>
        <w:t xml:space="preserve"> </w:t>
      </w:r>
    </w:p>
    <w:p w:rsidR="00480ED9" w:rsidRPr="0017634F" w:rsidRDefault="00480ED9" w:rsidP="00480ED9">
      <w:pPr>
        <w:widowControl/>
        <w:numPr>
          <w:ilvl w:val="0"/>
          <w:numId w:val="5"/>
        </w:numPr>
        <w:autoSpaceDE/>
        <w:autoSpaceDN/>
        <w:spacing w:after="160" w:line="228" w:lineRule="auto"/>
        <w:contextualSpacing/>
        <w:jc w:val="both"/>
        <w:rPr>
          <w:sz w:val="24"/>
          <w:szCs w:val="24"/>
          <w:lang w:val="en-US" w:eastAsia="ru-RU"/>
        </w:rPr>
      </w:pPr>
      <w:r w:rsidRPr="0017634F">
        <w:rPr>
          <w:sz w:val="24"/>
          <w:szCs w:val="24"/>
          <w:lang w:val="en-US" w:eastAsia="ru-RU"/>
        </w:rPr>
        <w:t xml:space="preserve">Codul de etică și deontologie profesională al UTM </w:t>
      </w:r>
      <w:hyperlink r:id="rId8" w:history="1">
        <w:r w:rsidRPr="0017634F">
          <w:rPr>
            <w:color w:val="0000FF"/>
            <w:sz w:val="24"/>
            <w:szCs w:val="24"/>
            <w:u w:val="single"/>
            <w:lang w:val="en-US" w:eastAsia="ru-RU"/>
          </w:rPr>
          <w:t>https://utm.md/wp-content/uploads/2019/12/Codul-de-etica-si-deontologie-profesionala_UTM-2019.pdf</w:t>
        </w:r>
      </w:hyperlink>
      <w:r w:rsidRPr="0017634F">
        <w:rPr>
          <w:sz w:val="24"/>
          <w:szCs w:val="24"/>
          <w:lang w:val="en-US" w:eastAsia="ru-RU"/>
        </w:rPr>
        <w:t xml:space="preserve"> </w:t>
      </w:r>
    </w:p>
    <w:p w:rsidR="00480ED9" w:rsidRPr="0017634F" w:rsidRDefault="00480ED9" w:rsidP="00480ED9">
      <w:pPr>
        <w:widowControl/>
        <w:numPr>
          <w:ilvl w:val="0"/>
          <w:numId w:val="5"/>
        </w:numPr>
        <w:autoSpaceDE/>
        <w:autoSpaceDN/>
        <w:spacing w:after="160" w:line="228" w:lineRule="auto"/>
        <w:contextualSpacing/>
        <w:jc w:val="both"/>
        <w:rPr>
          <w:sz w:val="24"/>
          <w:szCs w:val="24"/>
          <w:lang w:val="en-US" w:eastAsia="ru-RU"/>
        </w:rPr>
      </w:pPr>
      <w:r w:rsidRPr="0017634F">
        <w:rPr>
          <w:sz w:val="24"/>
          <w:szCs w:val="24"/>
          <w:lang w:val="en-US" w:eastAsia="ru-RU"/>
        </w:rPr>
        <w:t xml:space="preserve">Codul de onoare al studenților UTM </w:t>
      </w:r>
      <w:hyperlink r:id="rId9" w:history="1">
        <w:r w:rsidRPr="0017634F">
          <w:rPr>
            <w:color w:val="0000FF"/>
            <w:sz w:val="24"/>
            <w:szCs w:val="24"/>
            <w:u w:val="single"/>
            <w:lang w:val="en-US" w:eastAsia="ru-RU"/>
          </w:rPr>
          <w:t>https://utm.md/acte_normative/interne/codOnoare.pdf</w:t>
        </w:r>
      </w:hyperlink>
      <w:r w:rsidRPr="0017634F">
        <w:rPr>
          <w:sz w:val="24"/>
          <w:szCs w:val="24"/>
          <w:lang w:val="en-US" w:eastAsia="ru-RU"/>
        </w:rPr>
        <w:t xml:space="preserve"> </w:t>
      </w:r>
    </w:p>
    <w:p w:rsidR="00480ED9" w:rsidRPr="0017634F" w:rsidRDefault="00480ED9" w:rsidP="00480ED9">
      <w:pPr>
        <w:widowControl/>
        <w:numPr>
          <w:ilvl w:val="0"/>
          <w:numId w:val="5"/>
        </w:numPr>
        <w:autoSpaceDE/>
        <w:autoSpaceDN/>
        <w:spacing w:after="160" w:line="228" w:lineRule="auto"/>
        <w:contextualSpacing/>
        <w:jc w:val="both"/>
        <w:rPr>
          <w:sz w:val="24"/>
          <w:szCs w:val="24"/>
          <w:lang w:val="en-US" w:eastAsia="ru-RU"/>
        </w:rPr>
      </w:pPr>
      <w:r w:rsidRPr="0017634F">
        <w:rPr>
          <w:sz w:val="24"/>
          <w:szCs w:val="24"/>
          <w:lang w:val="en-US" w:eastAsia="ru-RU"/>
        </w:rPr>
        <w:t>Gore, W. J. si Dyson, J. W., The making of decisions, London, The Press of Glencol, Gallier-Maomillam Ltd. 1964.</w:t>
      </w:r>
    </w:p>
    <w:p w:rsidR="00480ED9" w:rsidRPr="0017634F" w:rsidRDefault="00480ED9" w:rsidP="00480ED9">
      <w:pPr>
        <w:widowControl/>
        <w:numPr>
          <w:ilvl w:val="0"/>
          <w:numId w:val="5"/>
        </w:numPr>
        <w:autoSpaceDE/>
        <w:autoSpaceDN/>
        <w:spacing w:after="160" w:line="228" w:lineRule="auto"/>
        <w:contextualSpacing/>
        <w:rPr>
          <w:sz w:val="24"/>
          <w:szCs w:val="24"/>
          <w:lang w:val="en-US" w:eastAsia="ru-RU"/>
        </w:rPr>
      </w:pPr>
      <w:r w:rsidRPr="0017634F">
        <w:rPr>
          <w:sz w:val="24"/>
          <w:szCs w:val="24"/>
          <w:lang w:val="en-US" w:eastAsia="ru-RU"/>
        </w:rPr>
        <w:t xml:space="preserve">Legea Nr.82 din 25-05-2017 integrității </w:t>
      </w:r>
      <w:hyperlink r:id="rId10" w:history="1">
        <w:r w:rsidRPr="0017634F">
          <w:rPr>
            <w:color w:val="0000FF"/>
            <w:sz w:val="24"/>
            <w:szCs w:val="24"/>
            <w:u w:val="single"/>
            <w:lang w:val="en-US" w:eastAsia="ru-RU"/>
          </w:rPr>
          <w:t>https://www.legis.md/cautare/getResults?doc_id=120706&amp;lang=ro</w:t>
        </w:r>
      </w:hyperlink>
      <w:r w:rsidRPr="0017634F">
        <w:rPr>
          <w:sz w:val="24"/>
          <w:szCs w:val="24"/>
          <w:lang w:val="en-US" w:eastAsia="ru-RU"/>
        </w:rPr>
        <w:t xml:space="preserve"> </w:t>
      </w:r>
    </w:p>
    <w:p w:rsidR="00480ED9" w:rsidRPr="0017634F" w:rsidRDefault="00480ED9" w:rsidP="00480ED9">
      <w:pPr>
        <w:widowControl/>
        <w:numPr>
          <w:ilvl w:val="0"/>
          <w:numId w:val="5"/>
        </w:numPr>
        <w:autoSpaceDE/>
        <w:autoSpaceDN/>
        <w:spacing w:after="160" w:line="228" w:lineRule="auto"/>
        <w:contextualSpacing/>
        <w:jc w:val="both"/>
        <w:rPr>
          <w:sz w:val="24"/>
          <w:szCs w:val="24"/>
          <w:lang w:val="en-US" w:eastAsia="ru-RU"/>
        </w:rPr>
      </w:pPr>
      <w:r w:rsidRPr="0017634F">
        <w:rPr>
          <w:sz w:val="24"/>
          <w:szCs w:val="24"/>
          <w:lang w:val="en-US" w:eastAsia="ru-RU"/>
        </w:rPr>
        <w:t>Miclea, M.Psihologie cognitivă. Modele teoretico-experimentale, Iasi, Editura Polirom, 1999.</w:t>
      </w:r>
    </w:p>
    <w:p w:rsidR="00480ED9" w:rsidRPr="0017634F" w:rsidRDefault="00480ED9" w:rsidP="00480ED9">
      <w:pPr>
        <w:widowControl/>
        <w:numPr>
          <w:ilvl w:val="0"/>
          <w:numId w:val="5"/>
        </w:numPr>
        <w:autoSpaceDE/>
        <w:autoSpaceDN/>
        <w:spacing w:after="160" w:line="228" w:lineRule="auto"/>
        <w:contextualSpacing/>
        <w:jc w:val="both"/>
        <w:rPr>
          <w:sz w:val="24"/>
          <w:szCs w:val="24"/>
          <w:lang w:val="en-US" w:eastAsia="ru-RU"/>
        </w:rPr>
      </w:pPr>
      <w:r w:rsidRPr="0017634F">
        <w:rPr>
          <w:sz w:val="24"/>
          <w:szCs w:val="24"/>
          <w:lang w:val="en-US" w:eastAsia="ru-RU"/>
        </w:rPr>
        <w:t xml:space="preserve"> Popescu I., Gavanescu P., Radulescu, D., Introducere în fundamentarea deciziei, Ed. stiintifica si Enciclo-pedica, Bucuresti 1983.</w:t>
      </w:r>
    </w:p>
    <w:p w:rsidR="00480ED9" w:rsidRPr="0017634F" w:rsidRDefault="00480ED9" w:rsidP="00480ED9">
      <w:pPr>
        <w:widowControl/>
        <w:numPr>
          <w:ilvl w:val="0"/>
          <w:numId w:val="5"/>
        </w:numPr>
        <w:autoSpaceDE/>
        <w:autoSpaceDN/>
        <w:spacing w:after="160" w:line="228" w:lineRule="auto"/>
        <w:contextualSpacing/>
        <w:jc w:val="both"/>
        <w:rPr>
          <w:sz w:val="24"/>
          <w:szCs w:val="24"/>
          <w:lang w:val="en-US" w:eastAsia="ru-RU"/>
        </w:rPr>
      </w:pPr>
      <w:r w:rsidRPr="0017634F">
        <w:rPr>
          <w:sz w:val="24"/>
          <w:szCs w:val="24"/>
          <w:lang w:val="en-US" w:eastAsia="ru-RU"/>
        </w:rPr>
        <w:t xml:space="preserve"> Plous, Scott, The Psychology of Judjement and Decision Making, McGraw-Hill Inc., 1993</w:t>
      </w:r>
    </w:p>
    <w:p w:rsidR="00480ED9" w:rsidRPr="0017634F" w:rsidRDefault="00480ED9" w:rsidP="00480ED9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  <w:lang w:val="en-US" w:eastAsia="ru-RU"/>
        </w:rPr>
      </w:pPr>
      <w:r w:rsidRPr="0017634F">
        <w:rPr>
          <w:sz w:val="24"/>
          <w:szCs w:val="24"/>
          <w:lang w:val="en-US" w:eastAsia="ru-RU"/>
        </w:rPr>
        <w:t xml:space="preserve">Regulament antiplagiat al UTM din 25.03.2019 </w:t>
      </w:r>
      <w:hyperlink r:id="rId11" w:history="1">
        <w:r w:rsidRPr="0017634F">
          <w:rPr>
            <w:color w:val="0000FF"/>
            <w:sz w:val="24"/>
            <w:szCs w:val="24"/>
            <w:u w:val="single"/>
            <w:lang w:val="en-US" w:eastAsia="ru-RU"/>
          </w:rPr>
          <w:t>https://utm.md/wp-content/uploads/2019/04/Regulament-antiplagiat_UTM-2019-_final.pdf</w:t>
        </w:r>
      </w:hyperlink>
      <w:r w:rsidRPr="0017634F">
        <w:rPr>
          <w:sz w:val="24"/>
          <w:szCs w:val="24"/>
          <w:lang w:val="en-US" w:eastAsia="ru-RU"/>
        </w:rPr>
        <w:t xml:space="preserve"> </w:t>
      </w:r>
    </w:p>
    <w:p w:rsidR="00480ED9" w:rsidRPr="0017634F" w:rsidRDefault="00480ED9" w:rsidP="00480ED9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  <w:lang w:val="en-US" w:eastAsia="ru-RU"/>
        </w:rPr>
      </w:pPr>
      <w:hyperlink r:id="rId12">
        <w:r w:rsidRPr="0017634F">
          <w:rPr>
            <w:rFonts w:eastAsia="Helvetica"/>
            <w:color w:val="0000FF"/>
            <w:sz w:val="24"/>
            <w:szCs w:val="24"/>
            <w:u w:val="single"/>
            <w:lang w:val="ro" w:eastAsia="ru-RU"/>
          </w:rPr>
          <w:t>Regulamentul de organizare şi funcţionare a Comisiei de Etică a Agenţiei Naţionale de Asigurare a Calităţii în Educaţie şi Cercetare în domeniul atestării</w:t>
        </w:r>
      </w:hyperlink>
      <w:r w:rsidRPr="0017634F">
        <w:rPr>
          <w:rFonts w:eastAsia="Helvetica"/>
          <w:color w:val="0000FF"/>
          <w:sz w:val="24"/>
          <w:szCs w:val="24"/>
          <w:u w:val="single"/>
          <w:lang w:val="ro" w:eastAsia="ru-RU"/>
        </w:rPr>
        <w:t xml:space="preserve"> </w:t>
      </w:r>
      <w:hyperlink r:id="rId13" w:history="1">
        <w:r w:rsidRPr="0017634F">
          <w:rPr>
            <w:rFonts w:eastAsia="Helvetica"/>
            <w:color w:val="0000FF"/>
            <w:sz w:val="24"/>
            <w:szCs w:val="24"/>
            <w:u w:val="single"/>
            <w:lang w:val="ro" w:eastAsia="ru-RU"/>
          </w:rPr>
          <w:t>http://www.cnaa.md/files/normative-acts/normative-acts-anacec-attestation/ethics-committee/regulament-comisie-etica.pdf</w:t>
        </w:r>
      </w:hyperlink>
      <w:r w:rsidRPr="0017634F">
        <w:rPr>
          <w:rFonts w:eastAsia="Helvetica"/>
          <w:color w:val="0000FF"/>
          <w:sz w:val="24"/>
          <w:szCs w:val="24"/>
          <w:u w:val="single"/>
          <w:lang w:val="ro" w:eastAsia="ru-RU"/>
        </w:rPr>
        <w:t xml:space="preserve"> </w:t>
      </w:r>
    </w:p>
    <w:p w:rsidR="00480ED9" w:rsidRPr="0017634F" w:rsidRDefault="00480ED9" w:rsidP="00480ED9">
      <w:pPr>
        <w:widowControl/>
        <w:numPr>
          <w:ilvl w:val="0"/>
          <w:numId w:val="5"/>
        </w:numPr>
        <w:autoSpaceDE/>
        <w:autoSpaceDN/>
        <w:spacing w:after="160" w:line="228" w:lineRule="auto"/>
        <w:contextualSpacing/>
        <w:jc w:val="both"/>
        <w:rPr>
          <w:rFonts w:ascii="Calibri" w:hAnsi="Calibri"/>
          <w:lang w:val="en-US" w:eastAsia="ru-RU"/>
        </w:rPr>
      </w:pPr>
      <w:r w:rsidRPr="0017634F">
        <w:rPr>
          <w:sz w:val="24"/>
          <w:szCs w:val="24"/>
          <w:lang w:val="en-US" w:eastAsia="ru-RU"/>
        </w:rPr>
        <w:t>Socaciu E., Vică C., Mihailov E., Gibea T etc. Etică și integritate academică. București, 2018</w:t>
      </w:r>
    </w:p>
    <w:p w:rsidR="00480ED9" w:rsidRPr="0017634F" w:rsidRDefault="00480ED9" w:rsidP="00480ED9">
      <w:pPr>
        <w:widowControl/>
        <w:numPr>
          <w:ilvl w:val="0"/>
          <w:numId w:val="5"/>
        </w:numPr>
        <w:autoSpaceDE/>
        <w:autoSpaceDN/>
        <w:spacing w:after="160" w:line="228" w:lineRule="auto"/>
        <w:contextualSpacing/>
        <w:jc w:val="both"/>
        <w:rPr>
          <w:sz w:val="24"/>
          <w:szCs w:val="24"/>
          <w:lang w:val="en-US" w:eastAsia="ru-RU"/>
        </w:rPr>
      </w:pPr>
      <w:r w:rsidRPr="0017634F">
        <w:rPr>
          <w:sz w:val="24"/>
          <w:szCs w:val="24"/>
          <w:lang w:val="en-US" w:eastAsia="ru-RU"/>
        </w:rPr>
        <w:t>Zlate, Mielu. Tratat de psihologie organizaţional-managerială, Iaşi, Editura Polirom, 2007.</w:t>
      </w:r>
    </w:p>
    <w:p w:rsidR="00480ED9" w:rsidRPr="0017634F" w:rsidRDefault="00480ED9" w:rsidP="00480ED9">
      <w:pPr>
        <w:widowControl/>
        <w:tabs>
          <w:tab w:val="left" w:pos="284"/>
          <w:tab w:val="left" w:pos="567"/>
        </w:tabs>
        <w:autoSpaceDE/>
        <w:autoSpaceDN/>
        <w:ind w:firstLine="284"/>
        <w:jc w:val="both"/>
        <w:rPr>
          <w:rFonts w:ascii="Calibri" w:hAnsi="Calibri"/>
          <w:bCs/>
          <w:lang w:val="en-US" w:eastAsia="ro-RO"/>
        </w:rPr>
      </w:pPr>
      <w:bookmarkStart w:id="0" w:name="_GoBack"/>
      <w:bookmarkEnd w:id="0"/>
    </w:p>
    <w:p w:rsidR="00480ED9" w:rsidRDefault="00480ED9" w:rsidP="00480ED9">
      <w:pPr>
        <w:widowControl/>
        <w:tabs>
          <w:tab w:val="left" w:pos="284"/>
          <w:tab w:val="left" w:pos="567"/>
          <w:tab w:val="num" w:pos="2564"/>
        </w:tabs>
        <w:autoSpaceDE/>
        <w:autoSpaceDN/>
        <w:ind w:firstLine="284"/>
        <w:jc w:val="center"/>
        <w:rPr>
          <w:b/>
          <w:lang w:eastAsia="ro-RO"/>
        </w:rPr>
      </w:pPr>
      <w:r>
        <w:rPr>
          <w:b/>
          <w:lang w:eastAsia="ro-RO"/>
        </w:rPr>
        <w:t>Дополнительная</w:t>
      </w:r>
    </w:p>
    <w:p w:rsidR="00480ED9" w:rsidRPr="0017634F" w:rsidRDefault="00480ED9" w:rsidP="00480ED9">
      <w:pPr>
        <w:widowControl/>
        <w:tabs>
          <w:tab w:val="left" w:pos="284"/>
          <w:tab w:val="left" w:pos="567"/>
          <w:tab w:val="num" w:pos="2564"/>
        </w:tabs>
        <w:autoSpaceDE/>
        <w:autoSpaceDN/>
        <w:ind w:firstLine="284"/>
        <w:jc w:val="center"/>
        <w:rPr>
          <w:rFonts w:ascii="Calibri" w:hAnsi="Calibri" w:cs="Calibri"/>
          <w:b/>
          <w:lang w:eastAsia="ro-RO"/>
        </w:rPr>
      </w:pPr>
    </w:p>
    <w:p w:rsidR="00480ED9" w:rsidRPr="0017634F" w:rsidRDefault="00480ED9" w:rsidP="00480ED9">
      <w:pPr>
        <w:widowControl/>
        <w:numPr>
          <w:ilvl w:val="0"/>
          <w:numId w:val="6"/>
        </w:numPr>
        <w:autoSpaceDE/>
        <w:autoSpaceDN/>
        <w:spacing w:after="160" w:line="228" w:lineRule="auto"/>
        <w:contextualSpacing/>
        <w:jc w:val="both"/>
        <w:rPr>
          <w:sz w:val="24"/>
          <w:szCs w:val="24"/>
          <w:lang w:val="en-US" w:eastAsia="ru-RU"/>
        </w:rPr>
      </w:pPr>
      <w:r w:rsidRPr="0017634F">
        <w:rPr>
          <w:sz w:val="24"/>
          <w:szCs w:val="24"/>
          <w:lang w:val="en-US" w:eastAsia="ru-RU"/>
        </w:rPr>
        <w:t>de Bono, E. Lateral thinking for management. Pelican Books, 1982.</w:t>
      </w:r>
    </w:p>
    <w:p w:rsidR="00480ED9" w:rsidRPr="0017634F" w:rsidRDefault="00480ED9" w:rsidP="00480ED9">
      <w:pPr>
        <w:widowControl/>
        <w:numPr>
          <w:ilvl w:val="0"/>
          <w:numId w:val="6"/>
        </w:numPr>
        <w:autoSpaceDE/>
        <w:autoSpaceDN/>
        <w:spacing w:after="160" w:line="228" w:lineRule="auto"/>
        <w:contextualSpacing/>
        <w:jc w:val="both"/>
        <w:rPr>
          <w:sz w:val="24"/>
          <w:szCs w:val="24"/>
          <w:lang w:val="en-US" w:eastAsia="ru-RU"/>
        </w:rPr>
      </w:pPr>
      <w:r w:rsidRPr="0017634F">
        <w:rPr>
          <w:sz w:val="24"/>
          <w:szCs w:val="24"/>
          <w:lang w:val="en-US" w:eastAsia="ru-RU"/>
        </w:rPr>
        <w:t>G. Gigerenzer, Reckoning With Risk: Learning to Live With Uncertainty. Penguin Books, 2002.</w:t>
      </w:r>
    </w:p>
    <w:p w:rsidR="00480ED9" w:rsidRPr="0017634F" w:rsidRDefault="00480ED9" w:rsidP="00480ED9">
      <w:pPr>
        <w:widowControl/>
        <w:numPr>
          <w:ilvl w:val="0"/>
          <w:numId w:val="6"/>
        </w:numPr>
        <w:autoSpaceDE/>
        <w:autoSpaceDN/>
        <w:spacing w:after="160" w:line="228" w:lineRule="auto"/>
        <w:contextualSpacing/>
        <w:jc w:val="both"/>
        <w:rPr>
          <w:sz w:val="24"/>
          <w:szCs w:val="24"/>
          <w:lang w:val="en-US" w:eastAsia="ru-RU"/>
        </w:rPr>
      </w:pPr>
      <w:r w:rsidRPr="0017634F">
        <w:rPr>
          <w:sz w:val="24"/>
          <w:szCs w:val="24"/>
          <w:lang w:val="en-US" w:eastAsia="ru-RU"/>
        </w:rPr>
        <w:t>Holsti, K.J., International Politics. A Framework for Analysis, Englewood Cliffs, 1995.</w:t>
      </w:r>
    </w:p>
    <w:p w:rsidR="00480ED9" w:rsidRPr="0017634F" w:rsidRDefault="00480ED9" w:rsidP="00480ED9">
      <w:pPr>
        <w:widowControl/>
        <w:numPr>
          <w:ilvl w:val="0"/>
          <w:numId w:val="6"/>
        </w:numPr>
        <w:autoSpaceDE/>
        <w:autoSpaceDN/>
        <w:spacing w:after="160" w:line="228" w:lineRule="auto"/>
        <w:contextualSpacing/>
        <w:jc w:val="both"/>
        <w:rPr>
          <w:sz w:val="24"/>
          <w:szCs w:val="24"/>
          <w:lang w:val="en-US" w:eastAsia="ru-RU"/>
        </w:rPr>
      </w:pPr>
      <w:r w:rsidRPr="0017634F">
        <w:rPr>
          <w:sz w:val="24"/>
          <w:szCs w:val="24"/>
          <w:lang w:val="en-US" w:eastAsia="ru-RU"/>
        </w:rPr>
        <w:t>Kirkwood, Craig W., Strategic Decision Making, Duxbury Press, 1997.</w:t>
      </w:r>
    </w:p>
    <w:p w:rsidR="00480ED9" w:rsidRPr="0017634F" w:rsidRDefault="00480ED9" w:rsidP="00480ED9">
      <w:pPr>
        <w:widowControl/>
        <w:numPr>
          <w:ilvl w:val="0"/>
          <w:numId w:val="6"/>
        </w:numPr>
        <w:autoSpaceDE/>
        <w:autoSpaceDN/>
        <w:spacing w:after="160" w:line="228" w:lineRule="auto"/>
        <w:contextualSpacing/>
        <w:jc w:val="both"/>
        <w:rPr>
          <w:sz w:val="24"/>
          <w:szCs w:val="24"/>
          <w:lang w:val="en-US" w:eastAsia="ru-RU"/>
        </w:rPr>
      </w:pPr>
      <w:r w:rsidRPr="0017634F">
        <w:rPr>
          <w:sz w:val="24"/>
          <w:szCs w:val="24"/>
          <w:lang w:val="en-US" w:eastAsia="ru-RU"/>
        </w:rPr>
        <w:t>Svenson O (2003) Values, affect and processes in human decision making: a differentiation and consolidation theory perspective. In: Schneider SL, Shanteau J (eds) Emerging perspectives on judgment and decision research. Cambridge University Press, New York, pp 287–326</w:t>
      </w:r>
    </w:p>
    <w:p w:rsidR="00480ED9" w:rsidRPr="0017634F" w:rsidRDefault="00480ED9" w:rsidP="00480ED9">
      <w:pPr>
        <w:widowControl/>
        <w:autoSpaceDE/>
        <w:autoSpaceDN/>
        <w:spacing w:after="160" w:line="228" w:lineRule="auto"/>
        <w:ind w:left="720"/>
        <w:contextualSpacing/>
        <w:jc w:val="both"/>
        <w:rPr>
          <w:sz w:val="24"/>
          <w:szCs w:val="24"/>
          <w:lang w:val="en-US" w:eastAsia="ru-RU"/>
        </w:rPr>
      </w:pPr>
    </w:p>
    <w:p w:rsidR="00480ED9" w:rsidRPr="0017634F" w:rsidRDefault="00480ED9" w:rsidP="00480ED9">
      <w:pPr>
        <w:pStyle w:val="a3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563C4B" w:rsidRDefault="00563C4B"/>
    <w:sectPr w:rsidR="00563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4B2E"/>
    <w:multiLevelType w:val="hybridMultilevel"/>
    <w:tmpl w:val="DDC6B8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A042F"/>
    <w:multiLevelType w:val="hybridMultilevel"/>
    <w:tmpl w:val="68E21F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24897"/>
    <w:multiLevelType w:val="hybridMultilevel"/>
    <w:tmpl w:val="1B504F30"/>
    <w:lvl w:ilvl="0" w:tplc="62D27096">
      <w:start w:val="1"/>
      <w:numFmt w:val="decimal"/>
      <w:lvlText w:val="%1."/>
      <w:lvlJc w:val="left"/>
      <w:pPr>
        <w:ind w:left="720" w:hanging="360"/>
      </w:pPr>
    </w:lvl>
    <w:lvl w:ilvl="1" w:tplc="B122092A">
      <w:start w:val="1"/>
      <w:numFmt w:val="lowerLetter"/>
      <w:lvlText w:val="%2."/>
      <w:lvlJc w:val="left"/>
      <w:pPr>
        <w:ind w:left="1440" w:hanging="360"/>
      </w:pPr>
    </w:lvl>
    <w:lvl w:ilvl="2" w:tplc="08447D10">
      <w:start w:val="1"/>
      <w:numFmt w:val="lowerRoman"/>
      <w:lvlText w:val="%3."/>
      <w:lvlJc w:val="right"/>
      <w:pPr>
        <w:ind w:left="2160" w:hanging="180"/>
      </w:pPr>
    </w:lvl>
    <w:lvl w:ilvl="3" w:tplc="4442168C">
      <w:start w:val="1"/>
      <w:numFmt w:val="decimal"/>
      <w:lvlText w:val="%4."/>
      <w:lvlJc w:val="left"/>
      <w:pPr>
        <w:ind w:left="2880" w:hanging="360"/>
      </w:pPr>
    </w:lvl>
    <w:lvl w:ilvl="4" w:tplc="3798553A">
      <w:start w:val="1"/>
      <w:numFmt w:val="lowerLetter"/>
      <w:lvlText w:val="%5."/>
      <w:lvlJc w:val="left"/>
      <w:pPr>
        <w:ind w:left="3600" w:hanging="360"/>
      </w:pPr>
    </w:lvl>
    <w:lvl w:ilvl="5" w:tplc="F23684E0">
      <w:start w:val="1"/>
      <w:numFmt w:val="lowerRoman"/>
      <w:lvlText w:val="%6."/>
      <w:lvlJc w:val="right"/>
      <w:pPr>
        <w:ind w:left="4320" w:hanging="180"/>
      </w:pPr>
    </w:lvl>
    <w:lvl w:ilvl="6" w:tplc="1EECCC0A">
      <w:start w:val="1"/>
      <w:numFmt w:val="decimal"/>
      <w:lvlText w:val="%7."/>
      <w:lvlJc w:val="left"/>
      <w:pPr>
        <w:ind w:left="5040" w:hanging="360"/>
      </w:pPr>
    </w:lvl>
    <w:lvl w:ilvl="7" w:tplc="23C249FC">
      <w:start w:val="1"/>
      <w:numFmt w:val="lowerLetter"/>
      <w:lvlText w:val="%8."/>
      <w:lvlJc w:val="left"/>
      <w:pPr>
        <w:ind w:left="5760" w:hanging="360"/>
      </w:pPr>
    </w:lvl>
    <w:lvl w:ilvl="8" w:tplc="C89CAD9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34C6B"/>
    <w:multiLevelType w:val="hybridMultilevel"/>
    <w:tmpl w:val="1B504F30"/>
    <w:lvl w:ilvl="0" w:tplc="62D27096">
      <w:start w:val="1"/>
      <w:numFmt w:val="decimal"/>
      <w:lvlText w:val="%1."/>
      <w:lvlJc w:val="left"/>
      <w:pPr>
        <w:ind w:left="720" w:hanging="360"/>
      </w:pPr>
    </w:lvl>
    <w:lvl w:ilvl="1" w:tplc="B122092A">
      <w:start w:val="1"/>
      <w:numFmt w:val="lowerLetter"/>
      <w:lvlText w:val="%2."/>
      <w:lvlJc w:val="left"/>
      <w:pPr>
        <w:ind w:left="1440" w:hanging="360"/>
      </w:pPr>
    </w:lvl>
    <w:lvl w:ilvl="2" w:tplc="08447D10">
      <w:start w:val="1"/>
      <w:numFmt w:val="lowerRoman"/>
      <w:lvlText w:val="%3."/>
      <w:lvlJc w:val="right"/>
      <w:pPr>
        <w:ind w:left="2160" w:hanging="180"/>
      </w:pPr>
    </w:lvl>
    <w:lvl w:ilvl="3" w:tplc="4442168C">
      <w:start w:val="1"/>
      <w:numFmt w:val="decimal"/>
      <w:lvlText w:val="%4."/>
      <w:lvlJc w:val="left"/>
      <w:pPr>
        <w:ind w:left="2880" w:hanging="360"/>
      </w:pPr>
    </w:lvl>
    <w:lvl w:ilvl="4" w:tplc="3798553A">
      <w:start w:val="1"/>
      <w:numFmt w:val="lowerLetter"/>
      <w:lvlText w:val="%5."/>
      <w:lvlJc w:val="left"/>
      <w:pPr>
        <w:ind w:left="3600" w:hanging="360"/>
      </w:pPr>
    </w:lvl>
    <w:lvl w:ilvl="5" w:tplc="F23684E0">
      <w:start w:val="1"/>
      <w:numFmt w:val="lowerRoman"/>
      <w:lvlText w:val="%6."/>
      <w:lvlJc w:val="right"/>
      <w:pPr>
        <w:ind w:left="4320" w:hanging="180"/>
      </w:pPr>
    </w:lvl>
    <w:lvl w:ilvl="6" w:tplc="1EECCC0A">
      <w:start w:val="1"/>
      <w:numFmt w:val="decimal"/>
      <w:lvlText w:val="%7."/>
      <w:lvlJc w:val="left"/>
      <w:pPr>
        <w:ind w:left="5040" w:hanging="360"/>
      </w:pPr>
    </w:lvl>
    <w:lvl w:ilvl="7" w:tplc="23C249FC">
      <w:start w:val="1"/>
      <w:numFmt w:val="lowerLetter"/>
      <w:lvlText w:val="%8."/>
      <w:lvlJc w:val="left"/>
      <w:pPr>
        <w:ind w:left="5760" w:hanging="360"/>
      </w:pPr>
    </w:lvl>
    <w:lvl w:ilvl="8" w:tplc="C89CAD9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837A0"/>
    <w:multiLevelType w:val="hybridMultilevel"/>
    <w:tmpl w:val="737E0B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C39AB"/>
    <w:multiLevelType w:val="hybridMultilevel"/>
    <w:tmpl w:val="10701F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D9"/>
    <w:rsid w:val="00480ED9"/>
    <w:rsid w:val="0056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0E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ED9"/>
    <w:pPr>
      <w:spacing w:after="0" w:line="240" w:lineRule="auto"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0E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ED9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m.md/wp-content/uploads/2019/12/Codul-de-etica-si-deontologie-profesionala_UTM-2019.pdf" TargetMode="External"/><Relationship Id="rId13" Type="http://schemas.openxmlformats.org/officeDocument/2006/relationships/hyperlink" Target="http://www.cnaa.md/files/normative-acts/normative-acts-anacec-attestation/ethics-committee/regulament-comisie-etica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tm.md/wp-content/uploads/2019/04/Carta-UTM_2018-finala.pdf" TargetMode="External"/><Relationship Id="rId12" Type="http://schemas.openxmlformats.org/officeDocument/2006/relationships/hyperlink" Target="https://utm.md/wp-content/uploads/2019/01/regulament-comisie-etic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gepi.gov.md/" TargetMode="External"/><Relationship Id="rId11" Type="http://schemas.openxmlformats.org/officeDocument/2006/relationships/hyperlink" Target="https://utm.md/wp-content/uploads/2019/04/Regulament-antiplagiat_UTM-2019-_final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egis.md/cautare/getResults?doc_id=120706&amp;lang=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tm.md/acte_normative/interne/codOnoare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2210</Words>
  <Characters>12602</Characters>
  <Application>Microsoft Office Word</Application>
  <DocSecurity>0</DocSecurity>
  <Lines>105</Lines>
  <Paragraphs>29</Paragraphs>
  <ScaleCrop>false</ScaleCrop>
  <Company/>
  <LinksUpToDate>false</LinksUpToDate>
  <CharactersWithSpaces>14783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2025-09-20T08:10:00Z</dcterms:created>
  <dcterms:modified xsi:type="dcterms:W3CDTF">2025-09-20T08:10:00Z</dcterms:modified>
</cp:coreProperties>
</file>