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D9" w:rsidRPr="007862E0" w:rsidRDefault="00480ED9" w:rsidP="00480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Примечание</w:t>
      </w:r>
    </w:p>
    <w:p w:rsidR="00480ED9" w:rsidRPr="007862E0" w:rsidRDefault="00480ED9" w:rsidP="00480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Общий обзор законодательства Республики Молдова в сфере интеллектуальной собственности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После провозглашения своей независимости и до настоящего времени в Молдове была создана и консолидирована комплексная нормативная база по интеллектуальной собственности, которая включает национальное законодательство и международные договоры в области интеллектуальной собственности, стороной которых является Молдова.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Национальное законодательство в данной области непрерывно развивалось параллельно с интегрированием страны во всемирную экономическую систему. Так, вступлению Молдовы в 2001 году во Всемирную торговую организацию (ВТО) предшествовало внесение изменений в 1997-2000 годах в законы о защите объектов интеллектуальной собственности (изобретения, сорта растений, промышленные рисунки и модели, товарные знаки и наименования мест происхождения, топографии интегральных схем, объекты, защищаемые авторским и смежными правами), а также в гражданское и административное законодательство. Тем самым правовая база была приведена в соответствие с требованиями, предусмотренными Соглашением по торговым аспектам прав интеллектуальной собственности (Соглашение ТРИПС). В том же контексте в 2007 году был принят ряд поправок в Уголовный кодекс, которые предусматривали уголовные наказания в случае нарушения прав интеллектуальной собственности.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После 2007 года вся нормативная база, относящаяся к данной области, была пересмотрена в соответствии с соглашениями между Республикой Молдова и Европейским Союзом в целях гармонизации законодательства с европейскими стандартами, обеспечения уровня защиты и соблюдения прав интеллектуальной собственности, равного существующему в ЕС уровню.</w:t>
      </w:r>
    </w:p>
    <w:p w:rsidR="00480ED9" w:rsidRPr="007862E0" w:rsidRDefault="00480ED9" w:rsidP="00480E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Были приняты в новой редакции шесть специальных законов, гармонизованных с законодательством Европейского Союза, которые регулируют охрану объектов промышленной собственности и произведений, защищаемых авторским и смежными правами, а именно:</w:t>
      </w:r>
    </w:p>
    <w:p w:rsidR="00480ED9" w:rsidRPr="007862E0" w:rsidRDefault="00480ED9" w:rsidP="00480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 об охране промышленных рисунков и моделей № 161-XVI от 12 июля 2007 г.</w:t>
      </w:r>
    </w:p>
    <w:p w:rsidR="00480ED9" w:rsidRPr="007862E0" w:rsidRDefault="00480ED9" w:rsidP="00480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 об охране товарных знаков № 38-XVI от 29 февраля 2008 г.;</w:t>
      </w:r>
    </w:p>
    <w:p w:rsidR="00480ED9" w:rsidRPr="007862E0" w:rsidRDefault="00480ED9" w:rsidP="00480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 об охране сортов растений № 39-XVI от 29 февраля 2008 г.;</w:t>
      </w:r>
    </w:p>
    <w:p w:rsidR="00480ED9" w:rsidRPr="007862E0" w:rsidRDefault="00480ED9" w:rsidP="00480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 об охране изобретений № 50-XVI от 7 марта 2008 г.;</w:t>
      </w:r>
    </w:p>
    <w:p w:rsidR="00480ED9" w:rsidRPr="007862E0" w:rsidRDefault="00480ED9" w:rsidP="00480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 об охране географических указаний, наименований мест происхождения и гарантированных традиционных продуктов № 66-XVI от 27 марта 2008 г.;</w:t>
      </w:r>
    </w:p>
    <w:p w:rsidR="00480ED9" w:rsidRPr="007862E0" w:rsidRDefault="00480ED9" w:rsidP="00480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Закон об авторском праве и смежных правах № 139-XVI от 2 июля 2010 г.</w:t>
      </w:r>
    </w:p>
    <w:p w:rsidR="00480ED9" w:rsidRPr="007862E0" w:rsidRDefault="00480ED9" w:rsidP="00480E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 законах в области интеллектуальной собственности была также учтена Директива Европейского Парламента и Совета 2004/48/СЕ от 29 апреля 2004 года о защите прав на интеллектуальную собственность. Нормативную базу в данной области дополняет Закон об охране топографий интегральных схем № 655-XVI от 29 октября 1999 г., а также Закон об утверждении национальных символов, соответствующих охраняемым географическим указаниям, охраняемым наименованиям мест происхождения и гарантированным традиционным продуктам № 101 от 12 июня 2014 г., разработанные в соответствии с международным законодательством.</w:t>
      </w:r>
    </w:p>
    <w:p w:rsidR="00480ED9" w:rsidRPr="007862E0" w:rsidRDefault="00480ED9" w:rsidP="00480E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Вступление в силу новых законов повлекло за собой ряд действий, обеспечивающих приведение действующего законодательства в соответствие с их положениями, а также их практическое применение. В этих целях были разработаны и утверждены Правительством положения по применению этих законов, а также внесены поправки в другие законодательные акты.</w:t>
      </w:r>
    </w:p>
    <w:p w:rsidR="00480ED9" w:rsidRPr="007862E0" w:rsidRDefault="00480ED9" w:rsidP="00480E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национальная нормативная база в области интеллектуальной собственности приведена в соответствие как с международными нормами, так и с нормами Европейского Союза. Для того чтобы соответствовать постоянным изменениям,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связанным с эволюцией в области интеллектуальной собственности, в стране продолжается непрерывный процесс гармонизации законодательства. В частности, в 2015 г. был принят пакет поправок в законодательство, регулирующее охрану промышленных рисунков и моделей, товарных знаков, сортов растений, а также изобретений.</w:t>
      </w:r>
    </w:p>
    <w:p w:rsidR="00480ED9" w:rsidRPr="007862E0" w:rsidRDefault="00480ED9" w:rsidP="00480E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 настоящего времени Республика Молдова присоединилась к основным международным и региональным организациям, а также к более чем 30 международным договорам в области интеллектуальной собственности, администрируемым Всемирной организацией интеллектуальной собственности (ВОИС), Международным союзом по охране новых сортов растений (УПОВ), Всемирной торговой организацией (ВТО) и Организацией Объединенных Наций по вопросам образования, науки и культуры (ЮНЕСКО). Кроме того, Молдова является участником основных соглашений, заключенных в рамках СНГ.</w:t>
      </w:r>
    </w:p>
    <w:p w:rsidR="00480ED9" w:rsidRPr="007862E0" w:rsidRDefault="00480ED9" w:rsidP="00480E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Регулятором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в сфере интеллектуальной собственности в Молдове является </w:t>
      </w:r>
      <w:hyperlink r:id="rId6" w:tgtFrame="_blank" w:history="1">
        <w:r w:rsidRPr="007862E0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Государственное агентство по интеллектуальной собственности (AGEPI)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. Агентство, которому принадлежит центральная роль в этой системе, является независимым в принятии решений по правовой охране объектов интеллектуальной собственности. В 2015 г. прошла административная реформа AGEPI, в рамках которой оно было реорганизовано из государственного предприятия в публичное учреждение, подведомственное Правительству.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Среди основных функций AGEPI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стратегическое планирование и реализация целей по развитию национальной системы интеллектуальной собственности; организация и управление этой системой; обеспечение продвижения инициатив по совершенствованию нормативной базы.</w:t>
      </w:r>
    </w:p>
    <w:p w:rsidR="00480ED9" w:rsidRPr="007862E0" w:rsidRDefault="00480ED9" w:rsidP="00480E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Государственное агентство по интеллектуальной собственности наделено следующими полномочиями: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принятие и экспертиза заявок на предоставление охраны, предоставление права на охрану и выдача от имени государства охранных документов на объекты интеллектуальной собственности;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управление, хранение и развитие баз данных в области интеллектуальной собственности;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разработка, согласование и выполнение программ и соглашений о сотрудничестве с другими странами и международными организациями в своей области деятельности;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обеспечение непрерывной подготовки и совершенствования специалистов в области интеллектуальной собственности, в том числе патентоведов, патентных поверенных и оценщиков;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издательская деятельность, включая выпуск Официального бюллетеня интеллектуальной собственности и других профильных изданий;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разработка и утверждение инструкций и других процедурных актов в области интеллектуальной собственности;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мониторинг деятельности Комиссии по рассмотрению возражений, Комиссии по медиации и Специализированного арбитража в области интеллектуальной собственности;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организация выставок, симпозиумов, конференций, других национальных и международных мероприятий в области интеллектуальной собственности и участие в них;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предоставление по запросу услуг и консультаций в области интеллектуальной собственности;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регистрация лицензионных договоров, договоров об уступке, залоге и франчайзинге прав на объекты промышленной собственности;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публикация данных по заявкам в области интеллектуальной собственности и охранным документам;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учет, хранение и пополнение коллекции документов и специализированной литературы в области интеллектуальной собственности;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документальные исследования в области промышленной собственности (по запросу, за плату);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принятие и рассмотрение заявок и необходимых документов для регистрации заявителей в Государственном регистре получателей контрольных марок;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выдача контрольных марок зарегистрированным в AGEPI обладателям прав на соответствующие экземпляры произведений или фонограмм;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осуществление по запросу компетентных органов экспертизы экземпляров произведений и фонограмм и оформление отчетов о научно-технической оценке и экспертизе;</w:t>
      </w:r>
    </w:p>
    <w:p w:rsidR="00480ED9" w:rsidRPr="007862E0" w:rsidRDefault="00480ED9" w:rsidP="00480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выдача заключений, мониторинг и надзор за деятельностью организаций по коллективному управлению авторским правом и/или смежными правами.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Кроме того, в полномочия AGEPI входит управление и хранение следующих национальных регистров:</w:t>
      </w:r>
    </w:p>
    <w:p w:rsidR="00480ED9" w:rsidRPr="007862E0" w:rsidRDefault="00480ED9" w:rsidP="00480E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национальный регистр поданных заявок,</w:t>
      </w:r>
    </w:p>
    <w:p w:rsidR="00480ED9" w:rsidRPr="007862E0" w:rsidRDefault="00480ED9" w:rsidP="00480E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национальные регистры охранных документов, предоставляемых на изобретения, сорта растений, топографии интегральных схем, товарные знаки, промышленные рисунки и модели, национальные регистры охраняемых географических указаний, охраняемых наименований мест происхождения, гарантированных традиционных продуктов,</w:t>
      </w:r>
    </w:p>
    <w:p w:rsidR="00480ED9" w:rsidRPr="007862E0" w:rsidRDefault="00480ED9" w:rsidP="00480E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государственный регистр объектов, охраняемых авторским правом и смежными правами,</w:t>
      </w:r>
    </w:p>
    <w:p w:rsidR="00480ED9" w:rsidRPr="007862E0" w:rsidRDefault="00480ED9" w:rsidP="00480E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национальные регистры лицензионных договоров, договоров об уступке, залоге и франчайзинге прав на объекты промышленной собственности,</w:t>
      </w:r>
    </w:p>
    <w:p w:rsidR="00480ED9" w:rsidRPr="007862E0" w:rsidRDefault="00480ED9" w:rsidP="00480E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государственный регистр получателей контрольных марок,</w:t>
      </w:r>
    </w:p>
    <w:p w:rsidR="00480ED9" w:rsidRPr="007862E0" w:rsidRDefault="00480ED9" w:rsidP="00480E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национальные регистры патентных поверенных и оценщиков в области интеллектуальной собственности.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 составе AGEPI работает </w:t>
      </w: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Комиссия по рассмотрению возражений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– специализированный орган, в компетенцию которого входит внесудебное рассмотрение поданных возражений против решений о регистрации/патентовании или об отказе в регистрации/патентовании объектов интеллектуальной собственности. Решения, принятые Комиссией по рассмотрению возражений AGEPI, могут быть обжалованы сторонами в судебную инстанцию в порядке и сроки, установленные законодательством.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положениями Закона об авторском праве и смежных правах № 139 от 2 июля 2010 года AGEPI создал </w:t>
      </w: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Комиссию по медиации в области интеллектуальной собственности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, которая рассматривает и решает споры, отнесенные к ее компетенции, в том числе споры в области коллективного управления авторским правом и смежными правами. Стороны могут прибегнуть к медиации добровольно, в том числе после возбуждения процесса в судебной инстанции или арбитраже.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 2003 году при AGEPI был создан </w:t>
      </w: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Специализированный арбитраж в области интеллектуальной собственности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. Арбитраж решает споры, которые вытекают из договорных отношений и из других отношений гражданского права в процессе осуществления деятельности, связанной с интеллектуальной собственностью.</w:t>
      </w:r>
    </w:p>
    <w:p w:rsidR="00480ED9" w:rsidRPr="007862E0" w:rsidRDefault="00480ED9" w:rsidP="00480E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С 2008 г. в качестве консультативного органа при Правительстве работает </w:t>
      </w: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Национальная комиссия по интеллектуальной собственности (НКИС)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. В ее состав входят ответственные лица из следующих учреждений: AGEPI, Академии наук Молдовы, Министерства экономики, Министерства юстиции, МВД, Министерства информационных технологий и связи, Таможенной службы, Национального центра по борьбе с коррупцией и др. НКИС возглавляет заместитель премьер-министра Республики Молдова, являющийся одновременно министром экономики.</w:t>
      </w:r>
    </w:p>
    <w:p w:rsidR="00480ED9" w:rsidRPr="007862E0" w:rsidRDefault="00480ED9" w:rsidP="0048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НКИС отвечает за координацию и обеспечение взаимодействия министерств, других центральных административных органов, а также обладателей прав на интеллектуальную собственность в таких областях как развитие национальной системы интеллектуальной собственности, пресечение и предупреждение нарушений в этой области и борьба с контрафакцией, импортом и коммерциализацией поддельных товаров в Молдове. При НКИС созданы ряд рабочих групп с участием представителей профильных учреждений, правообладателей, организаций по коллективному управлению, деловой среды.</w:t>
      </w: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Смотри:</w:t>
      </w:r>
      <w:r w:rsidRPr="007862E0">
        <w:rPr>
          <w:rFonts w:ascii="Times New Roman" w:hAnsi="Times New Roman" w:cs="Times New Roman"/>
          <w:sz w:val="24"/>
          <w:szCs w:val="24"/>
        </w:rPr>
        <w:t xml:space="preserve"> </w:t>
      </w: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https://libertarium.ru/copyrightlaw-md  Об авторском праве и смежных правах</w:t>
      </w:r>
    </w:p>
    <w:p w:rsidR="00480ED9" w:rsidRPr="007862E0" w:rsidRDefault="00480ED9" w:rsidP="00480ED9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 Республики Молдова N 293-XIII от 23 ноября 1994 г.</w:t>
      </w: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С изменениями, внесенными Законом N 1009-XIII от 22.10.96г.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br/>
        <w:t>С изменениями и дополнениями, внесенными Законом N 29-XIV от 28.05.98г.</w:t>
      </w: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Кодекс о науке и инновациях Республики Молдова № 259-XV от 15.07.2004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ab/>
        <w:t>http://lex.justice.md/viewdoc.php?action=view&amp;view=doc&amp;id=286236&amp;lang=2</w:t>
      </w:r>
    </w:p>
    <w:p w:rsidR="00480ED9" w:rsidRPr="007862E0" w:rsidRDefault="00480ED9" w:rsidP="00480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Правительства Республики Молдова № 325 от 02.06.2015 о реорганизации государственного предприятия «Государственное агентство по интеллектуальной собственности»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ab/>
        <w:t>http://lex.justice.md/viewdoc.php?action=view&amp;view=doc&amp;id=359127&amp;lang=2</w:t>
      </w:r>
    </w:p>
    <w:p w:rsidR="00480ED9" w:rsidRPr="007862E0" w:rsidRDefault="00480ED9" w:rsidP="00480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Правительства Республики Молдова № 489 от 29.03.2008 о Национальной комиссии по интеллектуальной собственности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ab/>
        <w:t>http://lex.justice.md/viewdoc.php?action=view&amp;view=doc&amp;id=327593&amp;lang=2</w:t>
      </w:r>
    </w:p>
    <w:p w:rsidR="00480ED9" w:rsidRPr="007862E0" w:rsidRDefault="00480ED9" w:rsidP="00480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Правительства Республики Молдова № 880 от 22 ноября 2012 г. о Национальной стратегии в области интеллектуальной собственности до 2020 года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ab/>
        <w:t>http://lex.justice.md/viewdoc.php?action=view&amp;view=doc&amp;id=345660&amp;lang=2</w:t>
      </w:r>
    </w:p>
    <w:p w:rsidR="00480ED9" w:rsidRPr="007862E0" w:rsidRDefault="00480ED9" w:rsidP="00480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правительства № 491 от 11.08.2015 об утверждении Плана мероприятий на 2015-2017 годы по внедрению Национальной стратегии в области интеллектуальной собственности до 2020 года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ab/>
        <w:t>http://lex.justice.md/viewdoc.php?action=view&amp;view=doc&amp;id=360480&amp;lang=2</w:t>
      </w: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Pr="007862E0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7634F">
        <w:rPr>
          <w:rFonts w:ascii="Times New Roman" w:hAnsi="Times New Roman" w:cs="Times New Roman"/>
          <w:b/>
          <w:sz w:val="24"/>
          <w:szCs w:val="24"/>
          <w:lang w:val="ru-RU" w:eastAsia="ru-RU"/>
        </w:rPr>
        <w:t>Библиография</w:t>
      </w:r>
    </w:p>
    <w:p w:rsidR="00480ED9" w:rsidRDefault="00480ED9" w:rsidP="00480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480ED9" w:rsidRDefault="00480ED9" w:rsidP="00480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Androniceanu, Armenia, „Noutăti în managementul public”, Editura UNIVERSITARĂ, Bucureşti, 2003.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 xml:space="preserve">Carta UTM din 24.04.2018 </w:t>
      </w:r>
      <w:hyperlink r:id="rId7" w:history="1">
        <w:r w:rsidRPr="0017634F">
          <w:rPr>
            <w:color w:val="0000FF"/>
            <w:sz w:val="24"/>
            <w:szCs w:val="24"/>
            <w:u w:val="single"/>
            <w:lang w:val="en-US" w:eastAsia="ru-RU"/>
          </w:rPr>
          <w:t>https://utm.md/wp-content/uploads/2019/04/Carta-UTM_2018-finala.pdf</w:t>
        </w:r>
      </w:hyperlink>
      <w:r w:rsidRPr="0017634F">
        <w:rPr>
          <w:sz w:val="24"/>
          <w:szCs w:val="24"/>
          <w:lang w:val="en-US" w:eastAsia="ru-RU"/>
        </w:rPr>
        <w:t xml:space="preserve"> 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 xml:space="preserve">Codul de etică și deontologie profesională al UTM </w:t>
      </w:r>
      <w:hyperlink r:id="rId8" w:history="1">
        <w:r w:rsidRPr="0017634F">
          <w:rPr>
            <w:color w:val="0000FF"/>
            <w:sz w:val="24"/>
            <w:szCs w:val="24"/>
            <w:u w:val="single"/>
            <w:lang w:val="en-US" w:eastAsia="ru-RU"/>
          </w:rPr>
          <w:t>https://utm.md/wp-content/uploads/2019/12/Codul-de-etica-si-deontologie-profesionala_UTM-2019.pdf</w:t>
        </w:r>
      </w:hyperlink>
      <w:r w:rsidRPr="0017634F">
        <w:rPr>
          <w:sz w:val="24"/>
          <w:szCs w:val="24"/>
          <w:lang w:val="en-US" w:eastAsia="ru-RU"/>
        </w:rPr>
        <w:t xml:space="preserve"> 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 xml:space="preserve">Codul de onoare al studenților UTM </w:t>
      </w:r>
      <w:hyperlink r:id="rId9" w:history="1">
        <w:r w:rsidRPr="0017634F">
          <w:rPr>
            <w:color w:val="0000FF"/>
            <w:sz w:val="24"/>
            <w:szCs w:val="24"/>
            <w:u w:val="single"/>
            <w:lang w:val="en-US" w:eastAsia="ru-RU"/>
          </w:rPr>
          <w:t>https://utm.md/acte_normative/interne/codOnoare.pdf</w:t>
        </w:r>
      </w:hyperlink>
      <w:r w:rsidRPr="0017634F">
        <w:rPr>
          <w:sz w:val="24"/>
          <w:szCs w:val="24"/>
          <w:lang w:val="en-US" w:eastAsia="ru-RU"/>
        </w:rPr>
        <w:t xml:space="preserve"> 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Gore, W. J. si Dyson, J. W., The making of decisions, London, The Press of Glencol, Gallier-Maomillam Ltd. 1964.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 xml:space="preserve">Legea Nr.82 din 25-05-2017 integrității </w:t>
      </w:r>
      <w:hyperlink r:id="rId10" w:history="1">
        <w:r w:rsidRPr="0017634F">
          <w:rPr>
            <w:color w:val="0000FF"/>
            <w:sz w:val="24"/>
            <w:szCs w:val="24"/>
            <w:u w:val="single"/>
            <w:lang w:val="en-US" w:eastAsia="ru-RU"/>
          </w:rPr>
          <w:t>https://www.legis.md/cautare/getResults?doc_id=120706&amp;lang=ro</w:t>
        </w:r>
      </w:hyperlink>
      <w:r w:rsidRPr="0017634F">
        <w:rPr>
          <w:sz w:val="24"/>
          <w:szCs w:val="24"/>
          <w:lang w:val="en-US" w:eastAsia="ru-RU"/>
        </w:rPr>
        <w:t xml:space="preserve"> 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Miclea, M.Psihologie cognitivă. Modele teoretico-experimentale, Iasi, Editura Polirom, 1999.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 xml:space="preserve"> Popescu I., Gavanescu P., Radulescu, D., Introducere în fundamentarea deciziei, Ed. stiintifica si Enciclo-pedica, Bucuresti 1983.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 xml:space="preserve"> Plous, Scott, The Psychology of Judjement and Decision Making, McGraw-Hill Inc., 1993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 xml:space="preserve">Regulament antiplagiat al UTM din 25.03.2019 </w:t>
      </w:r>
      <w:hyperlink r:id="rId11" w:history="1">
        <w:r w:rsidRPr="0017634F">
          <w:rPr>
            <w:color w:val="0000FF"/>
            <w:sz w:val="24"/>
            <w:szCs w:val="24"/>
            <w:u w:val="single"/>
            <w:lang w:val="en-US" w:eastAsia="ru-RU"/>
          </w:rPr>
          <w:t>https://utm.md/wp-content/uploads/2019/04/Regulament-antiplagiat_UTM-2019-_final.pdf</w:t>
        </w:r>
      </w:hyperlink>
      <w:r w:rsidRPr="0017634F">
        <w:rPr>
          <w:sz w:val="24"/>
          <w:szCs w:val="24"/>
          <w:lang w:val="en-US" w:eastAsia="ru-RU"/>
        </w:rPr>
        <w:t xml:space="preserve"> 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val="en-US" w:eastAsia="ru-RU"/>
        </w:rPr>
      </w:pPr>
      <w:hyperlink r:id="rId12">
        <w:r w:rsidRPr="0017634F">
          <w:rPr>
            <w:rFonts w:eastAsia="Helvetica"/>
            <w:color w:val="0000FF"/>
            <w:sz w:val="24"/>
            <w:szCs w:val="24"/>
            <w:u w:val="single"/>
            <w:lang w:val="ro" w:eastAsia="ru-RU"/>
          </w:rPr>
          <w:t>Regulamentul de organizare şi funcţionare a Comisiei de Etică a Agenţiei Naţionale de Asigurare a Calităţii în Educaţie şi Cercetare în domeniul atestării</w:t>
        </w:r>
      </w:hyperlink>
      <w:r w:rsidRPr="0017634F">
        <w:rPr>
          <w:rFonts w:eastAsia="Helvetica"/>
          <w:color w:val="0000FF"/>
          <w:sz w:val="24"/>
          <w:szCs w:val="24"/>
          <w:u w:val="single"/>
          <w:lang w:val="ro" w:eastAsia="ru-RU"/>
        </w:rPr>
        <w:t xml:space="preserve"> </w:t>
      </w:r>
      <w:hyperlink r:id="rId13" w:history="1">
        <w:r w:rsidRPr="0017634F">
          <w:rPr>
            <w:rFonts w:eastAsia="Helvetica"/>
            <w:color w:val="0000FF"/>
            <w:sz w:val="24"/>
            <w:szCs w:val="24"/>
            <w:u w:val="single"/>
            <w:lang w:val="ro" w:eastAsia="ru-RU"/>
          </w:rPr>
          <w:t>http://www.cnaa.md/files/normative-acts/normative-acts-anacec-attestation/ethics-committee/regulament-comisie-etica.pdf</w:t>
        </w:r>
      </w:hyperlink>
      <w:r w:rsidRPr="0017634F">
        <w:rPr>
          <w:rFonts w:eastAsia="Helvetica"/>
          <w:color w:val="0000FF"/>
          <w:sz w:val="24"/>
          <w:szCs w:val="24"/>
          <w:u w:val="single"/>
          <w:lang w:val="ro" w:eastAsia="ru-RU"/>
        </w:rPr>
        <w:t xml:space="preserve"> 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rFonts w:ascii="Calibri" w:hAnsi="Calibri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Socaciu E., Vică C., Mihailov E., Gibea T etc. Etică și integritate academică. București, 2018</w:t>
      </w:r>
    </w:p>
    <w:p w:rsidR="00480ED9" w:rsidRPr="0017634F" w:rsidRDefault="00480ED9" w:rsidP="00480ED9">
      <w:pPr>
        <w:widowControl/>
        <w:numPr>
          <w:ilvl w:val="0"/>
          <w:numId w:val="5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Zlate, Mielu. Tratat de psihologie organizaţional-managerială, Iaşi, Editura Polirom, 2007.</w:t>
      </w:r>
    </w:p>
    <w:p w:rsidR="00480ED9" w:rsidRPr="0017634F" w:rsidRDefault="00480ED9" w:rsidP="00480ED9">
      <w:pPr>
        <w:widowControl/>
        <w:tabs>
          <w:tab w:val="left" w:pos="284"/>
          <w:tab w:val="left" w:pos="567"/>
        </w:tabs>
        <w:autoSpaceDE/>
        <w:autoSpaceDN/>
        <w:ind w:firstLine="284"/>
        <w:jc w:val="both"/>
        <w:rPr>
          <w:rFonts w:ascii="Calibri" w:hAnsi="Calibri"/>
          <w:bCs/>
          <w:lang w:val="en-US" w:eastAsia="ro-RO"/>
        </w:rPr>
      </w:pPr>
      <w:bookmarkStart w:id="0" w:name="_GoBack"/>
      <w:bookmarkEnd w:id="0"/>
    </w:p>
    <w:p w:rsidR="00480ED9" w:rsidRDefault="00480ED9" w:rsidP="00480ED9">
      <w:pPr>
        <w:widowControl/>
        <w:tabs>
          <w:tab w:val="left" w:pos="284"/>
          <w:tab w:val="left" w:pos="567"/>
          <w:tab w:val="num" w:pos="2564"/>
        </w:tabs>
        <w:autoSpaceDE/>
        <w:autoSpaceDN/>
        <w:ind w:firstLine="284"/>
        <w:jc w:val="center"/>
        <w:rPr>
          <w:b/>
          <w:lang w:eastAsia="ro-RO"/>
        </w:rPr>
      </w:pPr>
      <w:r>
        <w:rPr>
          <w:b/>
          <w:lang w:eastAsia="ro-RO"/>
        </w:rPr>
        <w:t>Дополнительная</w:t>
      </w:r>
    </w:p>
    <w:p w:rsidR="00480ED9" w:rsidRPr="0017634F" w:rsidRDefault="00480ED9" w:rsidP="00480ED9">
      <w:pPr>
        <w:widowControl/>
        <w:tabs>
          <w:tab w:val="left" w:pos="284"/>
          <w:tab w:val="left" w:pos="567"/>
          <w:tab w:val="num" w:pos="2564"/>
        </w:tabs>
        <w:autoSpaceDE/>
        <w:autoSpaceDN/>
        <w:ind w:firstLine="284"/>
        <w:jc w:val="center"/>
        <w:rPr>
          <w:rFonts w:ascii="Calibri" w:hAnsi="Calibri" w:cs="Calibri"/>
          <w:b/>
          <w:lang w:eastAsia="ro-RO"/>
        </w:rPr>
      </w:pPr>
    </w:p>
    <w:p w:rsidR="00480ED9" w:rsidRPr="0017634F" w:rsidRDefault="00480ED9" w:rsidP="00480ED9">
      <w:pPr>
        <w:widowControl/>
        <w:numPr>
          <w:ilvl w:val="0"/>
          <w:numId w:val="6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de Bono, E. Lateral thinking for management. Pelican Books, 1982.</w:t>
      </w:r>
    </w:p>
    <w:p w:rsidR="00480ED9" w:rsidRPr="0017634F" w:rsidRDefault="00480ED9" w:rsidP="00480ED9">
      <w:pPr>
        <w:widowControl/>
        <w:numPr>
          <w:ilvl w:val="0"/>
          <w:numId w:val="6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G. Gigerenzer, Reckoning With Risk: Learning to Live With Uncertainty. Penguin Books, 2002.</w:t>
      </w:r>
    </w:p>
    <w:p w:rsidR="00480ED9" w:rsidRPr="0017634F" w:rsidRDefault="00480ED9" w:rsidP="00480ED9">
      <w:pPr>
        <w:widowControl/>
        <w:numPr>
          <w:ilvl w:val="0"/>
          <w:numId w:val="6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Holsti, K.J., International Politics. A Framework for Analysis, Englewood Cliffs, 1995.</w:t>
      </w:r>
    </w:p>
    <w:p w:rsidR="00480ED9" w:rsidRPr="0017634F" w:rsidRDefault="00480ED9" w:rsidP="00480ED9">
      <w:pPr>
        <w:widowControl/>
        <w:numPr>
          <w:ilvl w:val="0"/>
          <w:numId w:val="6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Kirkwood, Craig W., Strategic Decision Making, Duxbury Press, 1997.</w:t>
      </w:r>
    </w:p>
    <w:p w:rsidR="00480ED9" w:rsidRPr="0017634F" w:rsidRDefault="00480ED9" w:rsidP="00480ED9">
      <w:pPr>
        <w:widowControl/>
        <w:numPr>
          <w:ilvl w:val="0"/>
          <w:numId w:val="6"/>
        </w:numPr>
        <w:autoSpaceDE/>
        <w:autoSpaceDN/>
        <w:spacing w:after="160" w:line="228" w:lineRule="auto"/>
        <w:contextualSpacing/>
        <w:jc w:val="both"/>
        <w:rPr>
          <w:sz w:val="24"/>
          <w:szCs w:val="24"/>
          <w:lang w:val="en-US" w:eastAsia="ru-RU"/>
        </w:rPr>
      </w:pPr>
      <w:r w:rsidRPr="0017634F">
        <w:rPr>
          <w:sz w:val="24"/>
          <w:szCs w:val="24"/>
          <w:lang w:val="en-US" w:eastAsia="ru-RU"/>
        </w:rPr>
        <w:t>Svenson O (2003) Values, affect and processes in human decision making: a differentiation and consolidation theory perspective. In: Schneider SL, Shanteau J (eds) Emerging perspectives on judgment and decision research. Cambridge University Press, New York, pp 287–326</w:t>
      </w:r>
    </w:p>
    <w:p w:rsidR="00480ED9" w:rsidRPr="0017634F" w:rsidRDefault="00480ED9" w:rsidP="00480ED9">
      <w:pPr>
        <w:widowControl/>
        <w:autoSpaceDE/>
        <w:autoSpaceDN/>
        <w:spacing w:after="160" w:line="228" w:lineRule="auto"/>
        <w:ind w:left="720"/>
        <w:contextualSpacing/>
        <w:jc w:val="both"/>
        <w:rPr>
          <w:sz w:val="24"/>
          <w:szCs w:val="24"/>
          <w:lang w:val="en-US" w:eastAsia="ru-RU"/>
        </w:rPr>
      </w:pPr>
    </w:p>
    <w:p w:rsidR="00480ED9" w:rsidRPr="0017634F" w:rsidRDefault="00480ED9" w:rsidP="00480ED9">
      <w:pPr>
        <w:pStyle w:val="a3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563C4B" w:rsidRDefault="00563C4B"/>
    <w:sectPr w:rsidR="0056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B2E"/>
    <w:multiLevelType w:val="hybridMultilevel"/>
    <w:tmpl w:val="DDC6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A042F"/>
    <w:multiLevelType w:val="hybridMultilevel"/>
    <w:tmpl w:val="68E21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4897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20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34C6B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20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837A0"/>
    <w:multiLevelType w:val="hybridMultilevel"/>
    <w:tmpl w:val="737E0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C39AB"/>
    <w:multiLevelType w:val="hybridMultilevel"/>
    <w:tmpl w:val="10701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D9"/>
    <w:rsid w:val="00480ED9"/>
    <w:rsid w:val="005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ED9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ED9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m.md/wp-content/uploads/2019/12/Codul-de-etica-si-deontologie-profesionala_UTM-2019.pdf" TargetMode="External"/><Relationship Id="rId13" Type="http://schemas.openxmlformats.org/officeDocument/2006/relationships/hyperlink" Target="http://www.cnaa.md/files/normative-acts/normative-acts-anacec-attestation/ethics-committee/regulament-comisie-etic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m.md/wp-content/uploads/2019/04/Carta-UTM_2018-finala.pdf" TargetMode="External"/><Relationship Id="rId12" Type="http://schemas.openxmlformats.org/officeDocument/2006/relationships/hyperlink" Target="https://utm.md/wp-content/uploads/2019/01/regulament-comisie-eti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epi.gov.md/" TargetMode="External"/><Relationship Id="rId11" Type="http://schemas.openxmlformats.org/officeDocument/2006/relationships/hyperlink" Target="https://utm.md/wp-content/uploads/2019/04/Regulament-antiplagiat_UTM-2019-_fin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s.md/cautare/getResults?doc_id=120706&amp;lang=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m.md/acte_normative/interne/codOnoar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2210</Words>
  <Characters>12602</Characters>
  <Application>Microsoft Office Word</Application>
  <DocSecurity>0</DocSecurity>
  <Lines>105</Lines>
  <Paragraphs>29</Paragraphs>
  <ScaleCrop>false</ScaleCrop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2025-09-20T08:10:00Z</dcterms:created>
  <dcterms:modified xsi:type="dcterms:W3CDTF">2025-09-20T08:10:00Z</dcterms:modified>
</cp:coreProperties>
</file>