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6A" w:rsidRPr="007862E0" w:rsidRDefault="00AC63DA" w:rsidP="00F35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6</w:t>
      </w:r>
      <w:bookmarkStart w:id="0" w:name="_GoBack"/>
      <w:bookmarkEnd w:id="0"/>
      <w:r w:rsidR="00F35D6A" w:rsidRPr="007862E0">
        <w:rPr>
          <w:rFonts w:ascii="Times New Roman" w:hAnsi="Times New Roman" w:cs="Times New Roman"/>
          <w:b/>
          <w:sz w:val="24"/>
          <w:szCs w:val="24"/>
          <w:lang w:val="ru-RU"/>
        </w:rPr>
        <w:t>. Права интеллектуальной собственности и академическое мошенничество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1. Права интеллектуальной собственности (DPI): концепция и типология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2. Научное авторство и написание призраков: возможности и границы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Политика открытого доступа в обществе знаний.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3. Академическое мошенничество: от намерения к делу. Типы академического мошенничества: плагиат, копирование, само плагиат, производство данных, подделка личности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4. Анти </w:t>
      </w:r>
      <w:r w:rsidR="00BF35DE">
        <w:rPr>
          <w:rFonts w:ascii="Times New Roman" w:hAnsi="Times New Roman" w:cs="Times New Roman"/>
          <w:sz w:val="24"/>
          <w:szCs w:val="24"/>
          <w:lang w:val="ru-RU"/>
        </w:rPr>
        <w:t>плагиатом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регулирование ТУМ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5.Меры по предотвращению и способы борьбы с академическим мошенничеством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D6A" w:rsidRPr="00BF35DE" w:rsidRDefault="00F35D6A" w:rsidP="00F35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Права интеллектуальной собственности (DPI): концепция и типология</w:t>
      </w:r>
    </w:p>
    <w:p w:rsidR="00BF35DE" w:rsidRPr="007862E0" w:rsidRDefault="00BF35DE" w:rsidP="00BF35D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Интеллектуальная собственность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совокупности прав, регламентирующие интеллектуальную деятельностью в областях: литературной, художественной и научной, экономической, коммерческой и промышленной.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В отличие от собственности в целом, которая связана с владением материальными благами, интеллектуальная собственность, относящаяся к “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духовным благам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”.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образом, интеллектуальная собственность традиционно делится на две части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Авторское право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относится к защите произведений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литературе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(романы, стихи, пьесы)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художественной деятельности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(фильмы, музыкальные произведения),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научной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(монографии, исследовательские проекты, научные статьи и т. д.),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художественно-архитектурной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(картины, фотографии, скульптуры, архитектурный дизайн),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компьютерных программ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(игры, сайты и т. д.). </w:t>
      </w:r>
      <w:proofErr w:type="gramEnd"/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А работа исполнителей, производителей фонограмм, видео грамм и организаций по эфирному или кабельному распространению относится к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смежным правам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Отрасль интеллектуальной собственности относится к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категориям интеллектуального творчества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защита которых возникает автоматически, с момента их реализации без необходимой процедура экспертизы и сертификации. Она защищена авторским правом при условии, что она оригинальная.</w:t>
      </w: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Промышленная собственность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промышленной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собственности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относятся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исключительные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права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нематериальные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блага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являющиеся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результатом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творческой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деятельности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людей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блага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производственной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отраслях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народного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хозяйства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строительстве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сельском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хозяйстве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торговле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оказании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воплощаются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конструкциях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веществах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способах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производственной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Изобретения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изобретением</w:t>
      </w:r>
      <w:proofErr w:type="spellEnd"/>
      <w:r w:rsidRPr="007862E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понимается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техническое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являющееся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имеющее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изобретательский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применимое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Виды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5D6A" w:rsidRPr="007862E0" w:rsidRDefault="00F35D6A" w:rsidP="00F35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Перспективное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</w:p>
    <w:p w:rsidR="00F35D6A" w:rsidRPr="007862E0" w:rsidRDefault="00F35D6A" w:rsidP="00F35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Пионерское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</w:p>
    <w:p w:rsidR="00F35D6A" w:rsidRPr="007862E0" w:rsidRDefault="00F35D6A" w:rsidP="00F35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Переносное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</w:p>
    <w:p w:rsidR="00F35D6A" w:rsidRPr="007862E0" w:rsidRDefault="00F35D6A" w:rsidP="00F35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Комбинационное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</w:p>
    <w:p w:rsidR="00F35D6A" w:rsidRPr="007862E0" w:rsidRDefault="00F35D6A" w:rsidP="00F35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Служебное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Объектами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изобретений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могут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являться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устройство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способ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вещество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штамм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микроорганизма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культуры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клеток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растений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известного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ранее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устройства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способа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вещества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штамма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новому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назначению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нематериальными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объективно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существуют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материальных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объектах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частности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товарах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Такими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прежде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всего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продукты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Изобретению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предоставлена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охрана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соответствует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патентоспособности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новизна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изобретательский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применимость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З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аявка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получение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должна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содержать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выдаче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описание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формулу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чертежи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реферат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Рассмотрение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происходит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несколько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этапов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Вначале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обязательная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формальная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предварительная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экспертиза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проверки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представленным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документам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Далее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проверяется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относится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заявленное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объектам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охраняются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изобретениях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попадает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категорию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при-знается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патентоспособным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принимается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отказе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выдаче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па-тента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стадии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формальной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экспертизы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попадает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категорию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неохраняемых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заявленный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признается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принципе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патентоспособным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Дальнейшее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рассмотрение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прошедшей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формальную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экспертизу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зависит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действующей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Существуют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свидетельств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явочная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проверочная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отсроченная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действует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течение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двадцати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возможным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продлением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срока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пять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Промышленные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образцы</w:t>
      </w:r>
      <w:proofErr w:type="spellEnd"/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результатом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творческой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служит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средством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повышения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потребительских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качеств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изделий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характеризуются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соответствием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достижениям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мировой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надежностью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долговечностью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экономичностью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образцам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относится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художественно-конструкторское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определяющее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внешний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изделия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Критериями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охраноспособности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образца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новизна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оригинальность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применимость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действует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течение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десяти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возможным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продлением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срока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ходатайству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патентообладателя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пять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Полезные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модели</w:t>
      </w:r>
      <w:proofErr w:type="spellEnd"/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полезным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моделям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называемым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малым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изобретениям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относят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конструктивное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потребления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составных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частей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Полезной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модели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предоставляется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охрана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совокупность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существенных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признаков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известна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применимой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использоваться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сельском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хозяйстве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здравоохранении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отраслях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Важной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особенностью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правовой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полезной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модели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выдается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проверки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соответствия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новизны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применимости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Субъекты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патентного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права</w:t>
      </w:r>
      <w:proofErr w:type="spellEnd"/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Субъектами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авторы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соавторы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изобретений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полезных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моделей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образцов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патентообладатели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физические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юридические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приобретающие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некоторые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Другими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субъектами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правопреемники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Правопреемниками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иностранных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физические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юридические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личным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неимущественным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правам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автора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относятся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авторства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получения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передача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указанного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другим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юридическим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физическим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лицам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патента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Товарный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знак</w:t>
      </w:r>
      <w:proofErr w:type="spellEnd"/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Товарный</w:t>
      </w:r>
      <w:proofErr w:type="spellEnd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знак</w:t>
      </w:r>
      <w:proofErr w:type="spellEnd"/>
      <w:r w:rsidRPr="007862E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обозначением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предназначенным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отличать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одних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производителей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однородных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производителей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знаков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используют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нескольких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видов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обозначений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5D6A" w:rsidRPr="007862E0" w:rsidRDefault="00F35D6A" w:rsidP="00F35D6A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словесные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изобразительные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комбинированные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содержанию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знаки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должны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идентичными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сходными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знаками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введенными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оборот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Особое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занимает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коллективный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знак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предназначенный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обозначения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выпускаемых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несколькими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предприятиями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Режим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знака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строго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регламентирован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знака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- 10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возможным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продлением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заявлению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владельца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последний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каждый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Наименование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мест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происхождения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товара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Наименованием</w:t>
      </w:r>
      <w:proofErr w:type="spellEnd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места</w:t>
      </w:r>
      <w:proofErr w:type="spellEnd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происхождения</w:t>
      </w:r>
      <w:proofErr w:type="spellEnd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товара</w:t>
      </w:r>
      <w:proofErr w:type="spellEnd"/>
      <w:r w:rsidRPr="007862E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название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страны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населенного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пункта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местности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географического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используемое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обозначения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особые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свойства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исключительно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главным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определяются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характерными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природными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условиями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естественных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природных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продуктов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) и/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человеческим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фактором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старинными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рецептами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методами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технологическими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секретами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десятилетний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возможностью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продления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Продление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возможно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заявлению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обладателя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свидетельства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компетентного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подтверждающего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обладатель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свидетельства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находится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географическом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объекте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производит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особыми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свойствами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Недобросовестная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конкуренция</w:t>
      </w:r>
      <w:proofErr w:type="spellEnd"/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самом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широком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смысле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понятие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―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недобросовестная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конкуренция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‖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представляет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собой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совершение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актов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противоречат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честной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практике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недобросовестной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отличается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называемая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запрещенная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конкуренция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ответственность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наступает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нарушением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положений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Парижская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конвенция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определила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вида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конкуренции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недобросовестные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ведущие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тому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потребитель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принять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промышленную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коммерческую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фирмы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промышленную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коммерческую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фирмы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(сони-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соми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ложные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ходе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коммерческой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дискредитирующие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промышленную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коммерческую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ходе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коммерческой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указаний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обозначений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вводящих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потребителя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заблуждение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относительно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породы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способа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изготовления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характеристик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пригодности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количества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товаров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Рационализаторское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предложение</w:t>
      </w:r>
      <w:proofErr w:type="spellEnd"/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Рационализаторское</w:t>
      </w:r>
      <w:proofErr w:type="spellEnd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техническое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предусматривающее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изменение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изделия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применяемой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состава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являющееся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полезным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подано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организационное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дающее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экономию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трудовых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сырьевых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топливно-энергетических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материальных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ресурсов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иной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положительный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эффект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признания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рационализаторским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во-первых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чтобы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одним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видов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технических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организационным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Техническое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рационализаторском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предложении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достигается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создания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изделия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применяемой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техники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состава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во-вторых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должно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новым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подано</w:t>
      </w:r>
      <w:proofErr w:type="spellEnd"/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в-третьих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должно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полезным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подано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позволять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получить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любой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положительный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эффект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D6A" w:rsidRPr="007862E0" w:rsidRDefault="00F35D6A" w:rsidP="00F35D6A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D6A" w:rsidRDefault="00F35D6A" w:rsidP="00BF35D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Научное авторство и написание призраков: возможности и границы.</w:t>
      </w:r>
    </w:p>
    <w:p w:rsidR="00BF35DE" w:rsidRPr="007862E0" w:rsidRDefault="00BF35DE" w:rsidP="00BF35D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Политика открытого доступа в обществе знаний. Авторы научных статей - это, как правило, те, кто участвует в разработке исследования и написании самой статьи. В теоретических исследованиях, таких как философское, юридическое, политическое, один или не более нескольких человек участвуют на всех этапах исследования. В точных и естественных науках, а также частично в социальных науках, где исследования более обширны, в исследовании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участвует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большое количество людей, как на предварительных этапах сбора экспериментальных данных, так и на этапах разработки выводов и написания статьи. Помимо них, ряд специалистов могут дать значительную обратную связь при разработке статьи, особенно со стороны координаторов исследовательской группы или научных координаторов докторских диссертаций, которые часто фактически участвуют в разработке исследований и написании диссертаций.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Чтобы человек был в списке авторов, он должен внести интеллектуально значимый вклад как минимум в одну из областей:</w:t>
      </w:r>
    </w:p>
    <w:p w:rsidR="00F35D6A" w:rsidRPr="007862E0" w:rsidRDefault="00F35D6A" w:rsidP="00F35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разработка и проектирование работы,</w:t>
      </w:r>
    </w:p>
    <w:p w:rsidR="00F35D6A" w:rsidRPr="007862E0" w:rsidRDefault="00F35D6A" w:rsidP="00F35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сбор данных,</w:t>
      </w:r>
    </w:p>
    <w:p w:rsidR="00F35D6A" w:rsidRPr="007862E0" w:rsidRDefault="00F35D6A" w:rsidP="00F35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анализ и интерпретация данных,</w:t>
      </w:r>
    </w:p>
    <w:p w:rsidR="00F35D6A" w:rsidRPr="007862E0" w:rsidRDefault="00F35D6A" w:rsidP="00F35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статистический анализ,</w:t>
      </w:r>
    </w:p>
    <w:p w:rsidR="00F35D6A" w:rsidRPr="007862E0" w:rsidRDefault="00F35D6A" w:rsidP="00F35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научный надзор за исследованиями,</w:t>
      </w:r>
    </w:p>
    <w:p w:rsidR="00F35D6A" w:rsidRPr="007862E0" w:rsidRDefault="00F35D6A" w:rsidP="00F35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разработка проекта статьи,</w:t>
      </w:r>
    </w:p>
    <w:p w:rsidR="00F35D6A" w:rsidRPr="007862E0" w:rsidRDefault="00F35D6A" w:rsidP="00F35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формулировка существенных обзоров с важным интеллектуальным содержанием.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В зависимости от научной области, в которой появляется статья, существует ряд различных относительных стандартов, кто подпадает под критерии, чтобы считаться автором статьи, и в каком порядке авторы статьи должны упоминаться в структуре авторства.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Существуют области исследований, такие как философия, право, филология, математика, которые авторство обычно состоит из одного автора, в то время как для других областей, включая медицину, физику, различные отрасли инженерии, чаще всего публикации разрабатываются несколькими авторами вместе. Существуют ситуации, в таких областях, как физика элементарных частиц или в медицине, где число авторов превышает 100, и такие случаи не являются единичными, о чем свидетельствует публикация статей не менее 500 авторов.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Примеры: в 2015 году в статье, объявляющей об открытии бозона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val="ru-RU"/>
        </w:rPr>
        <w:t>Хиггса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, получившего название "Частица Бога", было 5154 автора. Это особенно большое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количество авторов связано с исследованиями международных групп, работающих в таких лабораториях, как CERN по физике элементарных частиц, исследования, в которых каждый из номинантов в качестве автора внёс свой вклад.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В случае статей с несколькими авторами доля вклада каждого из них различна, и поэтому, исходя из как можно более точного обоснования академического кредита, который каждый из авторов должен получить за свой вклад, необходимо установить порядок авторов, который отражает их участие в исследовании. Традиционно в большинстве областей академической публикации считается, что первый автор имеет наибольший вклад, и поэтому он также должен получить наибольшее признание за опубликованную статью. В некоторых областях существует вероятность того, что, если вклад авторов был равным, они должны быть переданы в алфавитном порядке – это случай математики и экономических наук - и есть упоминание в сноске, Многие журналы также приглашают авторов заявить в сноске вклад каждого из них в проведение исследования и статьи.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В таких областях, как биомедицинские, но новее и в социальной сфере, важность, аналогичная первому автору, приобретает последнего автора, которого часто считают тем, кто руководил или координировал исследования. Однако во многих ситуациях присутствие в качестве последнего автора не означает реального значимого вклада или координационной позиции в исследовании.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Из-за увеличения числа авторов и все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более излишних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правил определения авторства многие научные журналы в различных областях, особенно биомедицинских, отказались от классического термина "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автор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" в пользу термина "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авторы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Эти авторы обращают внимание на тот факт, что классическое определение авторства, действительное для произведений с одним автором или несколькими авторами, чьи вклады чётко выделены, менее актуально для статей с несколькими участниками, каждая из которых имеет специализированный вклад в соответствии со своими академическими компетенциями, что делает ответственность ослабленной, а авторы берут на себя справедливость и честность работы других, деятельность, которую они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часто не могут проверить или контролировать.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Единственными, кто может установить структуру авторитета, являются сами авторы, и научные журналы не должны вмешиваться в споры по поводу авторитета.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Авторы несут ответственность за правильное упоминание каждой помощи, полученной при разработке статьи. Призрачное письмо возникло и развивалось в таких областях, как литература, искусство в целом, включая кино, драматургию, а также музыкальную композицию. Использование </w:t>
      </w:r>
      <w:proofErr w:type="spellStart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ghostwriting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политики является традицией, а выступления политиков составляются их советниками. Большинство официальных документов, включая нормативные акты, правила и т. д., имеют авторов, отличных от их официальных подписантов.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GHOSTWRITER</w:t>
      </w:r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литературная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пишет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других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имя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издании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"</w:t>
      </w:r>
      <w:proofErr w:type="spellStart"/>
      <w:r w:rsidRPr="007862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призрак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")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отмечается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соавторов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помощников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разделе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благодарности</w:t>
      </w:r>
      <w:proofErr w:type="spellEnd"/>
      <w:r w:rsidRPr="007862E0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Имя лица, пишущего вместо официального подписавшего, может быть прозрачным или сохраняться в тайне, в зависимости от специфики договорённости или договора между сторонами – подписавшего документ и </w:t>
      </w:r>
      <w:proofErr w:type="spellStart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ghostwriter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Во многих ситуациях </w:t>
      </w:r>
      <w:proofErr w:type="spellStart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ghostwriter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для лучшего выражения идей человека, заинтересованного в их передаче, но чьи навыки письменного выражения менее развиты, чем у того, кто занимается профессиональным письмом.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Наем человека для отправки почты от имени знаменитости или публикации статей от его имени в своём блоге - это деятельность </w:t>
      </w:r>
      <w:proofErr w:type="spellStart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ghostwriter</w:t>
      </w:r>
      <w:proofErr w:type="spellEnd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особенно если кредит на эти статьи берет на себя указанная знаменитость, возможно, без упоминания фактического вклада </w:t>
      </w:r>
      <w:proofErr w:type="spellStart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ghostwriter</w:t>
      </w:r>
      <w:proofErr w:type="spellEnd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Ghostwriters</w:t>
      </w:r>
      <w:proofErr w:type="spellEnd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могут иметь разный уровень участия в создании научной работы от имени другого человека, от простой корректуры и написания текста до полной разработки. В эту ситуацию попадает профессиональная работа по редактированию текста (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val="ru-RU"/>
        </w:rPr>
        <w:t>copy-editing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/>
        </w:rPr>
        <w:t>), который лишь переформулирует в соответствующий язык идеи автора, не вмешиваясь в идеальную структуру текста. Обращение к таким профессиональным издателям с научной точки зрения разрешено, часто рекомендовано самими крупными международными научными издательствами, особенно в ситуации, когда язык публикации, обычно английский не является родным языком автора.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примера мы предлагаем услуги копирования и редактирования, предлагаемые такими фирмами, как </w:t>
      </w:r>
      <w:proofErr w:type="spellStart"/>
      <w:r w:rsidRPr="007862E0">
        <w:rPr>
          <w:rFonts w:ascii="Times New Roman" w:hAnsi="Times New Roman" w:cs="Times New Roman"/>
          <w:sz w:val="24"/>
          <w:szCs w:val="24"/>
          <w:lang w:val="ru-RU"/>
        </w:rPr>
        <w:t>Editage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(https://www.editage.com/),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ведёт более 881 000 исправленных работ, 269 000 авторов и более 2 000 опытных редакторов.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академических кругах аналогичной практикой является написание научных статей на заказ, будь то дипломные работы, диссертации, докторские степени, научные статьи или даже книги. Участники торгов такими услугами публично рекламируют оказанные услуги 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proofErr w:type="spellStart"/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ghostwriting</w:t>
      </w:r>
      <w:proofErr w:type="spell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для продвижения мошеннических исследований является проблемой не только в области медицины, поскольку псевдонаучные исследования, сделанные на заказ, очевидны в большинстве областей социальных, экономических, юридических наук. 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Чтобы избежать таких ситуаций, особенно в случае рецензируемых статей, продуктов или технологий, некоторые журналы требуют, чтобы авторы заявляли, написали ли они статью лично или использовали медицинского писателя или технического писателя. Одна конкретная ситуация, в которой возникает феномен призрачного письма, - это удаление одного из участников из окончательного списка авторов, даже если часть его идей осталась в содержании статьи.</w:t>
      </w:r>
    </w:p>
    <w:p w:rsidR="00F35D6A" w:rsidRPr="007862E0" w:rsidRDefault="00F35D6A" w:rsidP="00F35D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Политика открытого доступа в обществе знаний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Общество, основанное на знаниях, порождает глубокое и серьёзное неравенство в доступе к знаниям. Научное знание, являющееся основным фактором прогресса, также является основным источником неравенства в современном обществе.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По нашему мнению, наука представляет собой особое культурное наследие, выходящее за пределы национальных границ, имеющее универсальный и незаменимый характер. Неравенство доступа к опубликованным научным результатам углубляет разрыв между высокоразвитыми и развивающимися государствами между исследователями и студентами крупных университетов и других университетов.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D6A" w:rsidRDefault="00F35D6A" w:rsidP="00F35D6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3.Академическое мошенничество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от намерения к делу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35DE" w:rsidRPr="007862E0" w:rsidRDefault="00BF35DE" w:rsidP="00F35D6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5D6A" w:rsidRPr="007862E0" w:rsidRDefault="00F35D6A" w:rsidP="00F35D6A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Типы академического мошенничества: </w:t>
      </w: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плагиат, копирование, само плагиат, производство данных, подделка личности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Академическая честность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строится на этическом поведении членов сообщества каждого Университета, которое порождает культуру, основанную на академической честности и интеллектуальной строгости, в которой образовательный акт стремится к совершенству и поддерживается справедливой и объективной оценкой, и все члены вносят свой вклад в предотвращение, выявление и отчётность о действиях, которые ставят под угрозу это желание, чтобы Университет мог вмешаться и санкционировать предосудительные факты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. В этом контексте участников университетских образовательных программ специально просят проявить академическую (интеллектуальную) честность, избегая любого способа, которым они могли бы получить академическое преимущество для себя или кого-либо еще нечестными или несправедливыми средствами, такими как академическое мошенничество.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Мошенничество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преднамеренное действие по созданию данных и результатов, фальсификация, плагиат, незаконное отчуждение результатов научных исследований или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>другие методы, которые отклоняются от передовой практики, принятой научным сообществом и направленной на получение таких преимуществ, как научный престиж, продвижение по службе, финансирование, управление проектами или принятие исследовательских отчётов;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Производство результатов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или данных - отчётность о результатах или фиктивные данные, которые не являются фактическим результатом исследовательской деятельности;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Фальсификация результатов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или данных - выборочная отчётность или отклонение данных или нежелательных результатов; манипулирование представлениями или иллюстрациями; изменение экспериментального или числового аппарата для получения желаемых данных без сообщения о внесённых изменениях;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Подделка личности относится к замене лица, подлежащего оценке, другим, который принимает личность первого.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Чтобы избежать случаев замены лица на экзаменах и проверках, все учащиеся должны иметь при себе студенческую книжку, при этом экзаменационные учителя имеют право требовать от учащихся предъявления карточки.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Плагиат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изложение письменного произведения или устного общения, в том числе в электронном формате, некоторых текстов, выражений, идей, демонстраций, данных, гипотез, теорий, результатов или научных методов, взятых из письменных произведений, в том числе в электронном формате, 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других авторов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без упоминания об этом и без ссылки на исходные источники;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Что касается проблемного плагиата в студенческой среде, то его интенсивность несколько: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мошенничество: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копирование всей статьи, добавление к ней нового введения и заключения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существенный плагиат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 последовательное извлечение информации из материала без указания кавычками или цитированием библиографических источников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c.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случайный плагиат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 получение или частичное копирование, перефразирование без указания источника</w:t>
      </w:r>
    </w:p>
    <w:p w:rsidR="00F35D6A" w:rsidRPr="007862E0" w:rsidRDefault="00F35D6A" w:rsidP="00F35D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само плагиат: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повторное использование работ или идей внутри них, работ, которые имеют уже сделано предметом публикации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Кроме того, в студенческой среде отсутствие целостности в исследовательской работе может проявляться в различных формах, таких как: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плагиат в разработке исследовательских тем/рефералов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приобретение исследовательских работ/проектов на специализированных сайтах путём принятия этих работ в качестве собственного вклада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поддержка одной и той же работы / домашней работы в рамках нескольких учебных дисциплин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изменение информации, представленных в проектах или исследовательских темах других коллег, с мошенническим предположением об их идеях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изготовление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" данных для подтверждения определённых выводов без сертификации экспериментами или моделированием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получение с разрешения автора или без него исследовательской работы и представление ее как своего собственного вклада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незаконных средств для сбора данных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исследовательская работа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перефразирование идей, данных или концепций без подробного указания источников их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умышленно неверно истолковывать данные или информацию, используемые в рамках студенческих исследовательских тем (или опускать данные, которые могут нанести ущерб получению определённых результатов или выводов)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использование без разрешения конфиденциальной информации или информации, защищаемой правом интеллектуальной собственности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использование программного обеспечения, изображений, текстов или других средств массовой информации без лицензии или разрешения</w:t>
      </w:r>
    </w:p>
    <w:p w:rsidR="00F35D6A" w:rsidRPr="007862E0" w:rsidRDefault="00F35D6A" w:rsidP="00F35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поддержка (в курсе) или помощь в мошенничестве тем, кто добивается такого начинания в исследовательской работе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целом, столкнувшись со случаем нечестности в исследовательской работе студента, преподаватель оценивает серьёзность фактов, прежде всего, принимая во внимание его предыдущий академический курс. Во-вторых, он использует инструменты оценка, которую он имеет в своём распоряжении, санкционируя студента,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вычитая предоставленную оценку для разработки рассматриваемого материала или требует от него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перепрофилировать материал. 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Однако остаётся проблема отсутствия определённых инструментов контроля и наказания за это типы поведения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 На формальном уровне есть возможность предостеречь студентов от такого поведение путём применения дисциплинарных взысканий, которые могут дойти до изгнания из этого высшего учебного заведения.</w:t>
      </w:r>
    </w:p>
    <w:p w:rsidR="00F35D6A" w:rsidRPr="007862E0" w:rsidRDefault="00F35D6A" w:rsidP="00F35D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Меры предосторожности для предотвращения плагиата или его выявления касаются: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1. Информирование студентов о характере прав собственности и плагиата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2. Объяснение процедур и методологии исследования с помощью поляризационных материалов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3. Информирование студентов о плагиате и санкциях, полученных в этом случае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4. Отчёты работы, изложенные устно, для усиления интерактивного характера обучения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5. Проверка знаний методологии исследования в рамках курса или в ходе обсуждений на семинарах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6. Выделение темы исследования не должно выполняться в начале семестра, чтобы быть представленным в конце семестра, студенты должны руководствоваться на протяжении всей разработки материала, чтобы избежать обращения к ”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незаконным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" источникам из-за нехватки времени или постоянной озабоченности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7. Вовлечение студентов в оценку исследовательских работ своих коллег посредством устной поддержки исследовательских работ с упором на оценку степени их оригинальности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8. Использование поисковых систем, доступных в интернете, часто продуктивно: достаточно указать несколько ключевых слов текста, предположительно плагиата, чтобы продемонстрировать существование мошенничества.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случае целостности делается упор на развитие морального облика членов ВУЗа, а не на систематическое развитие Кодекса и Комиссии по мониторингу соблюдения Кодекса. С точки зрения честности, чтобы уменьшить феномен плагиата, студенты и учителя должны быть интеллектуально честными (также используется фраза академической честности). 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D6A" w:rsidRPr="007862E0" w:rsidRDefault="00F35D6A" w:rsidP="00F35D6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Антиплагиатное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регулированиеТУМ</w:t>
      </w:r>
      <w:proofErr w:type="spellEnd"/>
    </w:p>
    <w:p w:rsidR="00F35D6A" w:rsidRPr="007705B8" w:rsidRDefault="00F35D6A" w:rsidP="00F35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5D6A" w:rsidRPr="007705B8" w:rsidRDefault="00AC63DA" w:rsidP="00F35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6" w:history="1">
        <w:r w:rsidR="00F35D6A" w:rsidRPr="007705B8">
          <w:rPr>
            <w:rStyle w:val="a4"/>
            <w:rFonts w:ascii="Times New Roman" w:hAnsi="Times New Roman" w:cs="Times New Roman"/>
            <w:b/>
            <w:sz w:val="24"/>
            <w:szCs w:val="24"/>
            <w:lang w:val="ru-RU"/>
          </w:rPr>
          <w:t>https://utm.md/wp-content/uploads/2019/04/Regulament-antiplagiat_UTM-2019-_final.pdf</w:t>
        </w:r>
      </w:hyperlink>
    </w:p>
    <w:p w:rsidR="00F35D6A" w:rsidRPr="007862E0" w:rsidRDefault="00F35D6A" w:rsidP="00F35D6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D6A" w:rsidRDefault="00BF35DE" w:rsidP="00F35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35D6A" w:rsidRPr="007862E0">
        <w:rPr>
          <w:rFonts w:ascii="Times New Roman" w:hAnsi="Times New Roman" w:cs="Times New Roman"/>
          <w:b/>
          <w:sz w:val="24"/>
          <w:szCs w:val="24"/>
          <w:lang w:val="ru-RU"/>
        </w:rPr>
        <w:t>5. Меры по предотвращению и способы борьбы с академическим мошенничеством.</w:t>
      </w:r>
    </w:p>
    <w:p w:rsidR="00BF35DE" w:rsidRPr="007862E0" w:rsidRDefault="00BF35DE" w:rsidP="00F35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Тренинг по повышению осведомлённости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 на таких тренингах члены сообщества „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сенсибилизированы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" по отношению к определённой проблеме морального порядка (академическое мошенничество). Также на тренингах по повышению осведомлённости можно пригласить исследователей, которые отличились своей исследовательской работой в международном сообществе или сделали замечательные открытия. Они могут рассказать молодым студентам, насколько важным было время, когда они были студентами, и как им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>удалось добиться многого благодаря работе и честности. Честность можно продвигать как часть успешного рецепта в любой карьере.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Академические дебаты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 это еще один способ, которым студенты могут присвоить определённые моральные ценности. Студентам могут быть представлены различные случаи академического самозванца - академического мошенничества. В крайнем случае, студенты могут рассказать о своём собственном опыте и с аргументами отстаивать свою точку зрения.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Обмен ролями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 студентов и учителей просят, как следует из названия, обменяться ролями. Учителю можно отнести роль пойманного ученика к плагиату, и ученика просят представить, что он учитель. Другие участники могут делать заметки, чтобы, в конце концов, дать им предложения. Таким образом, студенты могут сопереживать учителю, который поймал ученика, а учителя - студента, пойманным в плагиате. В обоих случаях этот обмен ролями может иметь существенный эффект в изменении поведения всех участников.</w:t>
      </w:r>
    </w:p>
    <w:p w:rsidR="00F35D6A" w:rsidRPr="007862E0" w:rsidRDefault="00F35D6A" w:rsidP="00F35D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Просмотр короткометражных фильмов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 очень полезны также короткометражные фильмы, которые подчёркивают ранее обсуждавшийся аспекты. Они имеют преимущество, потому что могут иметь прямое эмоциональное воздействие.</w:t>
      </w:r>
    </w:p>
    <w:p w:rsidR="00563C4B" w:rsidRDefault="00563C4B"/>
    <w:sectPr w:rsidR="0056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131"/>
    <w:multiLevelType w:val="hybridMultilevel"/>
    <w:tmpl w:val="CB6C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48D"/>
    <w:multiLevelType w:val="hybridMultilevel"/>
    <w:tmpl w:val="0DDE7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D018F"/>
    <w:multiLevelType w:val="hybridMultilevel"/>
    <w:tmpl w:val="0DCC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A2627"/>
    <w:multiLevelType w:val="hybridMultilevel"/>
    <w:tmpl w:val="999A3D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054147"/>
    <w:multiLevelType w:val="hybridMultilevel"/>
    <w:tmpl w:val="F6F49D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6A"/>
    <w:rsid w:val="00563C4B"/>
    <w:rsid w:val="00AC63DA"/>
    <w:rsid w:val="00BF35DE"/>
    <w:rsid w:val="00F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6A"/>
    <w:pPr>
      <w:spacing w:after="0" w:line="240" w:lineRule="auto"/>
    </w:pPr>
    <w:rPr>
      <w:lang w:val="ro-RO"/>
    </w:rPr>
  </w:style>
  <w:style w:type="character" w:styleId="a4">
    <w:name w:val="Hyperlink"/>
    <w:basedOn w:val="a0"/>
    <w:uiPriority w:val="99"/>
    <w:unhideWhenUsed/>
    <w:rsid w:val="00F35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6A"/>
    <w:pPr>
      <w:spacing w:after="0" w:line="240" w:lineRule="auto"/>
    </w:pPr>
    <w:rPr>
      <w:lang w:val="ro-RO"/>
    </w:rPr>
  </w:style>
  <w:style w:type="character" w:styleId="a4">
    <w:name w:val="Hyperlink"/>
    <w:basedOn w:val="a0"/>
    <w:uiPriority w:val="99"/>
    <w:unhideWhenUsed/>
    <w:rsid w:val="00F35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m.md/wp-content/uploads/2019/04/Regulament-antiplagiat_UTM-2019-_fin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4036</Words>
  <Characters>23009</Characters>
  <Application>Microsoft Office Word</Application>
  <DocSecurity>0</DocSecurity>
  <Lines>191</Lines>
  <Paragraphs>53</Paragraphs>
  <ScaleCrop>false</ScaleCrop>
  <Company/>
  <LinksUpToDate>false</LinksUpToDate>
  <CharactersWithSpaces>26992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2025-09-20T08:07:00Z</dcterms:created>
  <dcterms:modified xsi:type="dcterms:W3CDTF">2025-09-29T17:56:00Z</dcterms:modified>
</cp:coreProperties>
</file>