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045970" cy="511175"/>
            <wp:effectExtent l="0" t="0" r="0" b="0"/>
            <wp:wrapNone/>
            <wp:docPr id="1" name="Pictur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right="-7" w:hanging="0"/>
        <w:jc w:val="right"/>
        <w:rPr>
          <w:rFonts w:ascii="Calibri" w:hAnsi="Calibri"/>
          <w:b/>
          <w:b/>
          <w:caps/>
          <w:color w:val="44546A" w:themeColor="text2"/>
          <w:spacing w:val="20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0353B5E5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6000115" cy="10160"/>
                <wp:effectExtent l="0" t="0" r="24130" b="19685"/>
                <wp:wrapNone/>
                <wp:docPr id="2" name="Прямая соединительная линия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9400" cy="6840"/>
                        </a:xfrm>
                        <a:prstGeom prst="line">
                          <a:avLst/>
                        </a:prstGeom>
                        <a:ln w="324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pt" to="472.35pt,13.5pt" ID="Прямая соединительная линия 32" stroked="t" style="position:absolute;flip:y" wp14:anchorId="0353B5E5">
                <v:stroke color="#4472c4" weight="3240" joinstyle="miter" endcap="flat"/>
                <v:fill o:detectmouseclick="t" on="false"/>
              </v:line>
            </w:pict>
          </mc:Fallback>
        </mc:AlternateContent>
      </w:r>
      <w:r>
        <w:rPr>
          <w:b/>
          <w:caps/>
          <w:color w:val="44546A" w:themeColor="text2"/>
          <w:spacing w:val="20"/>
          <w:sz w:val="20"/>
          <w:szCs w:val="22"/>
        </w:rPr>
        <w:t>FIŞA disciplinei/MOdulului</w:t>
      </w:r>
    </w:p>
    <w:p>
      <w:pPr>
        <w:pStyle w:val="Normal"/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MD-2045, CHIŞINĂU, STR. </w:t>
      </w:r>
      <w:r>
        <w:rPr>
          <w:rFonts w:cs="Times New Roman" w:ascii="Times New Roman" w:hAnsi="Times New Roman"/>
          <w:sz w:val="20"/>
          <w:szCs w:val="20"/>
          <w:shd w:fill="FFFFFF" w:val="clear"/>
        </w:rPr>
        <w:t>ST</w:t>
      </w:r>
      <w:r>
        <w:rPr>
          <w:rFonts w:cs="Times New Roman" w:ascii="Times New Roman" w:hAnsi="Times New Roman"/>
          <w:sz w:val="20"/>
          <w:szCs w:val="20"/>
        </w:rPr>
        <w:t xml:space="preserve">UDENŢILOR, 9/9, TEL: 022 22-50-60, </w:t>
      </w:r>
      <w:hyperlink r:id="rId3">
        <w:r>
          <w:rPr>
            <w:rStyle w:val="InternetLink"/>
            <w:rFonts w:cs="Times New Roman" w:ascii="Times New Roman" w:hAnsi="Times New Roman"/>
            <w:sz w:val="20"/>
            <w:szCs w:val="20"/>
          </w:rPr>
          <w:t>www.utm.md</w:t>
        </w:r>
      </w:hyperlink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center"/>
        <w:rPr>
          <w:rFonts w:ascii="Times New Roman" w:hAnsi="Times New Roman" w:eastAsia="Calibri" w:cs="Times New Roman"/>
          <w:b/>
          <w:b/>
          <w:sz w:val="22"/>
          <w:szCs w:val="22"/>
        </w:rPr>
      </w:pPr>
      <w:bookmarkStart w:id="0" w:name="_GoBack"/>
      <w:bookmarkEnd w:id="0"/>
      <w:r>
        <w:rPr>
          <w:rFonts w:eastAsia="Calibri" w:cs="Times New Roman" w:ascii="Times New Roman" w:hAnsi="Times New Roman"/>
          <w:b/>
          <w:sz w:val="22"/>
          <w:szCs w:val="22"/>
        </w:rPr>
        <w:t>DENUMIREA DISCIPLINEI/MODULULUI</w:t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Date despre disciplină/modul</w:t>
      </w:r>
    </w:p>
    <w:tbl>
      <w:tblPr>
        <w:tblStyle w:val="a8"/>
        <w:tblW w:w="952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37"/>
        <w:gridCol w:w="1421"/>
        <w:gridCol w:w="1560"/>
        <w:gridCol w:w="1556"/>
        <w:gridCol w:w="1566"/>
        <w:gridCol w:w="986"/>
      </w:tblGrid>
      <w:tr>
        <w:trPr/>
        <w:tc>
          <w:tcPr>
            <w:tcW w:w="2437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Facultatea</w:t>
            </w:r>
          </w:p>
        </w:tc>
        <w:tc>
          <w:tcPr>
            <w:tcW w:w="7089" w:type="dxa"/>
            <w:gridSpan w:val="5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ge3R_mcid7"/>
            <w:bookmarkEnd w:id="1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Calculatoare, Informatică și Microelectronică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437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Catedra/departamentul</w:t>
            </w:r>
          </w:p>
        </w:tc>
        <w:tc>
          <w:tcPr>
            <w:tcW w:w="7089" w:type="dxa"/>
            <w:gridSpan w:val="5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ge3R_mcid9"/>
            <w:bookmarkEnd w:id="2"/>
            <w:r>
              <w:rPr>
                <w:rFonts w:cs="Times New Roman" w:ascii="Times New Roman" w:hAnsi="Times New Roman"/>
                <w:sz w:val="22"/>
                <w:szCs w:val="22"/>
              </w:rPr>
              <w:t>Limbi Străine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437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Ciclul de studii</w:t>
            </w:r>
          </w:p>
        </w:tc>
        <w:tc>
          <w:tcPr>
            <w:tcW w:w="7089" w:type="dxa"/>
            <w:gridSpan w:val="5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ge3R_mcid11"/>
            <w:bookmarkEnd w:id="3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Studii superioare de licenţă, ciclul I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437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Programul de studiu</w:t>
            </w:r>
          </w:p>
        </w:tc>
        <w:tc>
          <w:tcPr>
            <w:tcW w:w="7089" w:type="dxa"/>
            <w:gridSpan w:val="5"/>
            <w:tcBorders/>
          </w:tcPr>
          <w:p>
            <w:pPr>
              <w:pStyle w:val="Normal"/>
              <w:tabs>
                <w:tab w:val="clear" w:pos="708"/>
                <w:tab w:val="left" w:pos="851" w:leader="none"/>
                <w:tab w:val="right" w:pos="9072" w:leader="underscore"/>
                <w:tab w:val="center" w:pos="13041" w:leader="none"/>
                <w:tab w:val="right" w:pos="14566" w:leader="underscore"/>
              </w:tabs>
              <w:spacing w:before="6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sz w:val="22"/>
                <w:szCs w:val="22"/>
                <w:lang w:val="ro-RO" w:eastAsia="ro-RO"/>
              </w:rPr>
              <w:t xml:space="preserve"> </w:t>
            </w:r>
            <w:bookmarkStart w:id="4" w:name="page3R_mcid13"/>
            <w:bookmarkEnd w:id="4"/>
            <w:r>
              <w:rPr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>MN-0714.5, TI-0613.1, AI-0714.6, SI-0613.2, IA-0613.5,  MI-0612.2,</w:t>
            </w:r>
            <w:bookmarkStart w:id="5" w:name="page3R_mcid14"/>
            <w:bookmarkEnd w:id="5"/>
            <w:r>
              <w:rPr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 xml:space="preserve"> C-0612.1, RM-</w:t>
            </w:r>
            <w:r>
              <w:rPr>
                <w:rStyle w:val="StrongEmphasis"/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>0714.7</w:t>
            </w:r>
            <w:r>
              <w:rPr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 xml:space="preserve">, IS- </w:t>
            </w:r>
            <w:r>
              <w:rPr>
                <w:rStyle w:val="StrongEmphasis"/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>0613.3</w:t>
            </w:r>
            <w:r>
              <w:rPr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 xml:space="preserve"> , </w:t>
            </w:r>
            <w:r>
              <w:rPr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 xml:space="preserve">CR-0612.1, </w:t>
            </w:r>
            <w:r>
              <w:rPr>
                <w:rFonts w:cs="sans-serif;Arial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  <w:lang w:val="ro-RO" w:eastAsia="ro-RO"/>
              </w:rPr>
              <w:t>IB-0714.9.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437" w:type="dxa"/>
            <w:tcBorders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Anul de studiu</w:t>
            </w:r>
          </w:p>
        </w:tc>
        <w:tc>
          <w:tcPr>
            <w:tcW w:w="1421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Semestrul</w:t>
            </w:r>
          </w:p>
        </w:tc>
        <w:tc>
          <w:tcPr>
            <w:tcW w:w="1560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Tip de evaluare</w:t>
            </w:r>
          </w:p>
        </w:tc>
        <w:tc>
          <w:tcPr>
            <w:tcW w:w="1556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Categoria formativă</w:t>
            </w:r>
          </w:p>
        </w:tc>
        <w:tc>
          <w:tcPr>
            <w:tcW w:w="1566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Categoria de opţionalitate</w:t>
            </w:r>
          </w:p>
        </w:tc>
        <w:tc>
          <w:tcPr>
            <w:tcW w:w="986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Credite ECTS</w:t>
            </w:r>
          </w:p>
        </w:tc>
      </w:tr>
      <w:tr>
        <w:trPr/>
        <w:tc>
          <w:tcPr>
            <w:tcW w:w="2437" w:type="dxa"/>
            <w:tcBorders/>
          </w:tcPr>
          <w:p>
            <w:pPr>
              <w:pStyle w:val="Normal"/>
              <w:spacing w:before="0" w:after="0"/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age3R_mcid22"/>
            <w:bookmarkEnd w:id="6"/>
            <w:r>
              <w:rPr>
                <w:rFonts w:cs="Times New Roman" w:ascii="Times New Roman" w:hAnsi="Times New Roman"/>
                <w:sz w:val="22"/>
                <w:szCs w:val="22"/>
              </w:rPr>
              <w:t>I (învăţământ cu frecvenţă la zi)</w:t>
            </w:r>
          </w:p>
          <w:p>
            <w:pPr>
              <w:pStyle w:val="Normal"/>
              <w:spacing w:before="0" w:after="0"/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21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1, 2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556" w:type="dxa"/>
            <w:tcBorders/>
          </w:tcPr>
          <w:p>
            <w:pPr>
              <w:pStyle w:val="Normal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age3R_mcid33"/>
            <w:bookmarkEnd w:id="7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G – discipline de </w:t>
              <w:br/>
              <w:t xml:space="preserve">formare a abilităţilor şi </w:t>
              <w:br/>
              <w:t xml:space="preserve">competenţelor </w:t>
              <w:br/>
              <w:t>generale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66" w:type="dxa"/>
            <w:tcBorders/>
          </w:tcPr>
          <w:p>
            <w:pPr>
              <w:pStyle w:val="Normal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" w:name="page3R_mcid34"/>
            <w:bookmarkEnd w:id="8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O - unitate </w:t>
              <w:br/>
              <w:t xml:space="preserve">de curs </w:t>
              <w:br/>
              <w:t>obligatorie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86" w:type="dxa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</w:tr>
    </w:tbl>
    <w:p>
      <w:pPr>
        <w:pStyle w:val="Normal"/>
        <w:spacing w:before="0" w:after="200"/>
        <w:ind w:left="720" w:hanging="0"/>
        <w:contextualSpacing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Timpul total estimat</w:t>
      </w:r>
    </w:p>
    <w:tbl>
      <w:tblPr>
        <w:tblStyle w:val="a8"/>
        <w:tblW w:w="952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1"/>
        <w:gridCol w:w="672"/>
        <w:gridCol w:w="1893"/>
        <w:gridCol w:w="5"/>
        <w:gridCol w:w="1256"/>
        <w:gridCol w:w="2192"/>
        <w:gridCol w:w="1707"/>
      </w:tblGrid>
      <w:tr>
        <w:trPr/>
        <w:tc>
          <w:tcPr>
            <w:tcW w:w="1801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ind w:left="34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Total ore în planul de învăţământ</w:t>
            </w:r>
          </w:p>
        </w:tc>
        <w:tc>
          <w:tcPr>
            <w:tcW w:w="7725" w:type="dxa"/>
            <w:gridSpan w:val="6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Din care</w:t>
            </w:r>
          </w:p>
        </w:tc>
      </w:tr>
      <w:tr>
        <w:trPr/>
        <w:tc>
          <w:tcPr>
            <w:tcW w:w="1801" w:type="dxa"/>
            <w:vMerge w:val="continue"/>
            <w:tcBorders/>
          </w:tcPr>
          <w:p>
            <w:pPr>
              <w:pStyle w:val="Normal"/>
              <w:spacing w:before="0" w:after="0"/>
              <w:ind w:left="34" w:hanging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565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Ore auditoriale</w:t>
            </w:r>
          </w:p>
        </w:tc>
        <w:tc>
          <w:tcPr>
            <w:tcW w:w="5160" w:type="dxa"/>
            <w:gridSpan w:val="4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Lucrul individual</w:t>
            </w:r>
          </w:p>
        </w:tc>
      </w:tr>
      <w:tr>
        <w:trPr/>
        <w:tc>
          <w:tcPr>
            <w:tcW w:w="1801" w:type="dxa"/>
            <w:vMerge w:val="continue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672" w:type="dxa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Curs</w:t>
            </w:r>
          </w:p>
        </w:tc>
        <w:tc>
          <w:tcPr>
            <w:tcW w:w="1898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Laborator/seminar</w:t>
            </w:r>
          </w:p>
        </w:tc>
        <w:tc>
          <w:tcPr>
            <w:tcW w:w="1256" w:type="dxa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Proiect de an</w:t>
            </w:r>
          </w:p>
        </w:tc>
        <w:tc>
          <w:tcPr>
            <w:tcW w:w="2192" w:type="dxa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Studiul materialului teoretic</w:t>
            </w:r>
          </w:p>
        </w:tc>
        <w:tc>
          <w:tcPr>
            <w:tcW w:w="1707" w:type="dxa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Pregătire aplicaţii</w:t>
            </w:r>
          </w:p>
        </w:tc>
      </w:tr>
      <w:tr>
        <w:trPr/>
        <w:tc>
          <w:tcPr>
            <w:tcW w:w="1801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672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98" w:type="dxa"/>
            <w:gridSpan w:val="2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256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92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07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30</w:t>
            </w:r>
          </w:p>
        </w:tc>
      </w:tr>
    </w:tbl>
    <w:p>
      <w:pPr>
        <w:pStyle w:val="Normal"/>
        <w:spacing w:before="0" w:after="200"/>
        <w:ind w:left="720" w:hanging="0"/>
        <w:contextualSpacing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Precondiţii de acces la disciplină/modul</w:t>
      </w:r>
    </w:p>
    <w:tbl>
      <w:tblPr>
        <w:tblStyle w:val="a8"/>
        <w:tblW w:w="952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61"/>
        <w:gridCol w:w="6265"/>
      </w:tblGrid>
      <w:tr>
        <w:trPr/>
        <w:tc>
          <w:tcPr>
            <w:tcW w:w="3261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Conform planului de învăţământ</w:t>
            </w:r>
          </w:p>
        </w:tc>
        <w:tc>
          <w:tcPr>
            <w:tcW w:w="6265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page3R_mcid56"/>
            <w:bookmarkEnd w:id="9"/>
            <w:r>
              <w:rPr>
                <w:rFonts w:cs="Times New Roman" w:ascii="Times New Roman" w:hAnsi="Times New Roman"/>
                <w:sz w:val="22"/>
                <w:szCs w:val="22"/>
              </w:rPr>
              <w:t>Abilități de cunoaștere și înțelegere a limbii la nivel upper- intermediate B2.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261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Conform competenţelor</w:t>
            </w:r>
          </w:p>
        </w:tc>
        <w:tc>
          <w:tcPr>
            <w:tcW w:w="6265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page3R_mcid58"/>
            <w:bookmarkEnd w:id="10"/>
            <w:r>
              <w:rPr>
                <w:rFonts w:cs="Times New Roman" w:ascii="Times New Roman" w:hAnsi="Times New Roman"/>
                <w:sz w:val="22"/>
                <w:szCs w:val="22"/>
              </w:rPr>
              <w:t>Utilizarea limbajului ca instrument de comunicare orală şi scrisă</w:t>
            </w:r>
            <w:bookmarkStart w:id="11" w:name="page3R_mcid59"/>
            <w:bookmarkEnd w:id="11"/>
            <w:r>
              <w:rPr>
                <w:rFonts w:cs="Times New Roman" w:ascii="Times New Roman" w:hAnsi="Times New Roman"/>
                <w:sz w:val="22"/>
                <w:szCs w:val="22"/>
              </w:rPr>
              <w:t>.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ind w:left="720" w:hanging="0"/>
        <w:contextualSpacing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0" w:firstLine="36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Condiţii de desfăşurare a procesului educaţional pentru</w:t>
      </w:r>
    </w:p>
    <w:tbl>
      <w:tblPr>
        <w:tblStyle w:val="a8"/>
        <w:tblW w:w="952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98"/>
        <w:gridCol w:w="7628"/>
      </w:tblGrid>
      <w:tr>
        <w:trPr/>
        <w:tc>
          <w:tcPr>
            <w:tcW w:w="1898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Curs</w:t>
            </w:r>
          </w:p>
        </w:tc>
        <w:tc>
          <w:tcPr>
            <w:tcW w:w="7628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</w:tr>
      <w:tr>
        <w:trPr/>
        <w:tc>
          <w:tcPr>
            <w:tcW w:w="1898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Laborator/seminar</w:t>
            </w:r>
          </w:p>
        </w:tc>
        <w:tc>
          <w:tcPr>
            <w:tcW w:w="7628" w:type="dxa"/>
            <w:tcBorders/>
          </w:tcPr>
          <w:p>
            <w:pPr>
              <w:pStyle w:val="Normal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page3R_mcid65"/>
            <w:bookmarkEnd w:id="12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În procesul de învăţământ, eficiența învățării unei limbi depinde de următoarele condiții: </w:t>
            </w:r>
            <w:bookmarkStart w:id="13" w:name="page3R_mcid66"/>
            <w:bookmarkEnd w:id="13"/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 xml:space="preserve">a) particularitățile individuale ale subiecților educaționali, </w:t>
            </w:r>
            <w:bookmarkStart w:id="14" w:name="page3R_mcid67"/>
            <w:bookmarkEnd w:id="14"/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 xml:space="preserve">b) volumul, calitatea si accesibilitatea cunoștințelor, </w:t>
            </w:r>
            <w:bookmarkStart w:id="15" w:name="page3R_mcid68"/>
            <w:bookmarkEnd w:id="15"/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 xml:space="preserve">c) transferul de cunoștințe; </w:t>
            </w:r>
            <w:bookmarkStart w:id="16" w:name="page3R_mcid69"/>
            <w:bookmarkEnd w:id="16"/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 xml:space="preserve">d) exerciţiul; </w:t>
            </w:r>
            <w:bookmarkStart w:id="17" w:name="page3R_mcid70"/>
            <w:bookmarkEnd w:id="17"/>
            <w:r>
              <w:rPr>
                <w:rFonts w:cs="Times New Roman" w:ascii="Times New Roman" w:hAnsi="Times New Roman"/>
                <w:sz w:val="22"/>
                <w:szCs w:val="22"/>
              </w:rPr>
              <w:t>practica</w:t>
              <w:br/>
              <w:t xml:space="preserve">e) strategiile de predare si învățare; </w:t>
            </w:r>
            <w:bookmarkStart w:id="18" w:name="page3R_mcid71"/>
            <w:bookmarkEnd w:id="18"/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 xml:space="preserve">f) caracterul sistemic al procesului de învățământ. 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ind w:left="720" w:hanging="0"/>
        <w:contextualSpacing/>
        <w:jc w:val="both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Competenţe specifice acumulate</w:t>
      </w:r>
    </w:p>
    <w:tbl>
      <w:tblPr>
        <w:tblStyle w:val="a8"/>
        <w:tblW w:w="952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60"/>
        <w:gridCol w:w="7966"/>
      </w:tblGrid>
      <w:tr>
        <w:trPr/>
        <w:tc>
          <w:tcPr>
            <w:tcW w:w="1560" w:type="dxa"/>
            <w:tcBorders/>
          </w:tcPr>
          <w:p>
            <w:pPr>
              <w:pStyle w:val="Normal"/>
              <w:widowControl w:val="false"/>
              <w:spacing w:lineRule="exact" w:line="216"/>
              <w:ind w:left="10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Competenţe profesionale</w:t>
            </w:r>
          </w:p>
        </w:tc>
        <w:tc>
          <w:tcPr>
            <w:tcW w:w="79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>Elaborează proiecte didactice de lungă şi de scurtă durată corelînd competențe, conținuturi, strategii și tehnologii didactice cu necesitățile fiecărui student.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Formulează clar obiectivele și finalitățile procesului educațional pentru fiecare activitate, corelate cu prevederile curriculare.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>Selectează și eșalonează conținuturile curriculare şi strategiile de învățare în funcție de cunoștințele și particularitățile individuale ale studenților.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Include perspectiva inter și transdisciplinarității în proiectarea didactică.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>Include în proiectul didactic utilizarea resurselor și echipamentelor disponibile.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>Valorifică specificul disciplinei pentru formarea de atitudini și valori fezabile.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Elaborează obiectivele de evaluare, probele de evaluare respectînd particularitățile individuale ale studenților, în baza curriculum-ului disciplinar.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Proiectează evaluarea didactică cu indicarea criteriilor, strategiilor și instrumentelor necesare.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Proiectează diferite forme și strategii de evaluare reciprocă și de autoevaluare.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/>
            </w:pPr>
            <w:bookmarkStart w:id="19" w:name="page61R_mcid38"/>
            <w:bookmarkEnd w:id="19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>Asigură corectitudinea, obiectivitatea și relevanța evaluării.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Autospacing="0" w:after="0"/>
              <w:contextualSpacing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>Analizează continuu performanțele subiectului, urmărindu-i progresul educațional.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Autospacing="0" w:after="0"/>
              <w:ind w:left="317" w:hanging="0"/>
              <w:contextualSpacing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</w:r>
          </w:p>
        </w:tc>
      </w:tr>
      <w:tr>
        <w:trPr/>
        <w:tc>
          <w:tcPr>
            <w:tcW w:w="1560" w:type="dxa"/>
            <w:tcBorders/>
          </w:tcPr>
          <w:p>
            <w:pPr>
              <w:pStyle w:val="Normal"/>
              <w:widowControl w:val="false"/>
              <w:spacing w:lineRule="exact" w:line="216"/>
              <w:ind w:left="10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Competenţe transversale</w:t>
            </w:r>
          </w:p>
        </w:tc>
        <w:tc>
          <w:tcPr>
            <w:tcW w:w="7966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Autospacing="0" w:after="0"/>
              <w:ind w:left="317" w:hanging="0"/>
              <w:contextualSpacing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bookmarkStart w:id="20" w:name="page3R_mcid90"/>
            <w:bookmarkEnd w:id="20"/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2"/>
                <w:lang w:val="ro-RO"/>
              </w:rPr>
              <w:t>A.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 Competenţa de comunicare într-o limbă străină este alcătuită dintr-un ansamblu de elemente componente, referitoare la: </w:t>
            </w:r>
            <w:bookmarkStart w:id="21" w:name="page3R_mcid91"/>
            <w:bookmarkEnd w:id="21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1. Cunoaştere şi înţelegere </w:t>
            </w:r>
            <w:bookmarkStart w:id="22" w:name="page3R_mcid92"/>
            <w:bookmarkEnd w:id="22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dezvoltarea celor 4 competenţe lingvistice: înţelegerea textului, redactare (eseuri, comentarii, </w:t>
              <w:br/>
              <w:t xml:space="preserve">articole, contracte, scrisori etc), comunicare verbală, înţelegere orală </w:t>
            </w:r>
            <w:bookmarkStart w:id="23" w:name="page3R_mcid93"/>
            <w:bookmarkEnd w:id="23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însuşirea unui vocabular care să faciliteze parcurgerea diverselor materiale din limba generală </w:t>
            </w:r>
            <w:bookmarkStart w:id="24" w:name="page3R_mcid94"/>
            <w:bookmarkEnd w:id="24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2. Explicare şi interpretare </w:t>
            </w:r>
            <w:bookmarkStart w:id="25" w:name="page3R_mcid95"/>
            <w:bookmarkEnd w:id="25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explicarea structurilor gramaticale specifice </w:t>
            </w:r>
            <w:bookmarkStart w:id="26" w:name="page3R_mcid96"/>
            <w:bookmarkEnd w:id="26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folosirea metodei contrastive în explicarea noţiunilor gramaticale şi expresiilor idiomatice </w:t>
            </w:r>
            <w:bookmarkStart w:id="27" w:name="page3R_mcid97"/>
            <w:bookmarkEnd w:id="27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folosirea creativă a structurilor specifice </w:t>
            </w:r>
            <w:bookmarkStart w:id="28" w:name="page3R_mcid98"/>
            <w:bookmarkEnd w:id="28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3. Instrumental – aplicative </w:t>
            </w:r>
            <w:bookmarkStart w:id="29" w:name="page3R_mcid99"/>
            <w:bookmarkEnd w:id="29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fişe de lucru personale </w:t>
            </w:r>
            <w:bookmarkStart w:id="30" w:name="page3R_mcid100"/>
            <w:bookmarkEnd w:id="30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portofolii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Autospacing="0" w:after="0"/>
              <w:ind w:left="317" w:hanging="0"/>
              <w:contextualSpacing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bookmarkStart w:id="31" w:name="page44R_mcid8"/>
            <w:bookmarkEnd w:id="31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• 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e-learning </w:t>
            </w:r>
            <w:bookmarkStart w:id="32" w:name="page44R_mcid9"/>
            <w:bookmarkEnd w:id="32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4. Atitudinale </w:t>
            </w:r>
            <w:bookmarkStart w:id="33" w:name="page44R_mcid10"/>
            <w:bookmarkEnd w:id="33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valorificarea optimă şi creativă a competenţelor de cunoaştere şi înţelegere a structurilor predate </w:t>
            </w:r>
            <w:bookmarkStart w:id="34" w:name="page44R_mcid11"/>
            <w:bookmarkEnd w:id="34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  <w:t xml:space="preserve">• dezvoltarea capacităţii de cercetare în mediul lingvistic studiat </w:t>
            </w:r>
            <w:bookmarkStart w:id="35" w:name="page44R_mcid12"/>
            <w:bookmarkEnd w:id="35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2"/>
                <w:lang w:val="ro-RO"/>
              </w:rPr>
              <w:t>B.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 Aplicarea tehnicilor de relaţionare în grup. Promovarea spiritului de iniţiativă, dialogului, </w:t>
              <w:br/>
              <w:t xml:space="preserve">cooperării, respectului faţă de ceilalţi. </w:t>
            </w:r>
            <w:bookmarkStart w:id="36" w:name="page44R_mcid13"/>
            <w:bookmarkEnd w:id="36"/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br/>
            </w:r>
            <w:r>
              <w:rPr>
                <w:rFonts w:cs="Times New Roman" w:ascii="Times New Roman" w:hAnsi="Times New Roman"/>
                <w:b/>
                <w:bCs/>
                <w:color w:val="auto"/>
                <w:sz w:val="22"/>
                <w:szCs w:val="22"/>
                <w:lang w:val="ro-RO"/>
              </w:rPr>
              <w:t>C.</w:t>
            </w: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  <w:t xml:space="preserve"> Formarea profesională și personală continue - identificarea nevoii de formare profesională continuă în scopul inserţiei pe piaţa muncii şi al adaptării la dinamica cerinţelor acesteia pentru dezvoltarea personală şi profesională. Utilizarea eficientă a tehnologiilor informaţionale în scopul </w:t>
              <w:br/>
              <w:t>dezvoltării abilităţilor lingvistice.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Autospacing="0" w:after="0"/>
              <w:ind w:left="317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cs="Times New Roman" w:ascii="Times New Roman" w:hAnsi="Times New Roman"/>
                <w:color w:val="auto"/>
                <w:sz w:val="22"/>
                <w:szCs w:val="22"/>
                <w:lang w:val="ro-RO"/>
              </w:rPr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Obiectivele disciplinei/modulului</w:t>
      </w:r>
    </w:p>
    <w:tbl>
      <w:tblPr>
        <w:tblStyle w:val="a8"/>
        <w:tblW w:w="9527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27"/>
        <w:gridCol w:w="7399"/>
      </w:tblGrid>
      <w:tr>
        <w:trPr/>
        <w:tc>
          <w:tcPr>
            <w:tcW w:w="2127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Obiectivul general</w:t>
            </w:r>
          </w:p>
        </w:tc>
        <w:tc>
          <w:tcPr>
            <w:tcW w:w="7399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7" w:name="page44R_mcid17"/>
            <w:bookmarkEnd w:id="37"/>
            <w:r>
              <w:rPr>
                <w:rFonts w:cs="Times New Roman" w:ascii="Times New Roman" w:hAnsi="Times New Roman"/>
                <w:sz w:val="22"/>
                <w:szCs w:val="22"/>
              </w:rPr>
              <w:t>Însuşirea unei limbi străine.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Obiectivele specifice</w:t>
            </w:r>
          </w:p>
        </w:tc>
        <w:tc>
          <w:tcPr>
            <w:tcW w:w="7399" w:type="dxa"/>
            <w:tcBorders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left"/>
              <w:rPr/>
            </w:pPr>
            <w:bookmarkStart w:id="38" w:name="page44R_mcid19"/>
            <w:bookmarkEnd w:id="38"/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De a dezvolta competențe de comunicare într-o limbă străină; 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De a actualiza achizițiile lingvistice în vederea susținerii unei expuneri pe marginea unui subiect din domeniul IT; 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De a optimiza actul de comunicare prin revizuirea structurilor gramaticale.</w:t>
            </w:r>
          </w:p>
          <w:p>
            <w:pPr>
              <w:pStyle w:val="Normal"/>
              <w:spacing w:before="0" w:after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spacing w:before="0" w:after="20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  <w:t>Conţinutul disciplinei/modulului</w:t>
      </w:r>
    </w:p>
    <w:tbl>
      <w:tblPr>
        <w:tblStyle w:val="a8"/>
        <w:tblW w:w="9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886"/>
        <w:gridCol w:w="1269"/>
        <w:gridCol w:w="1343"/>
      </w:tblGrid>
      <w:tr>
        <w:trPr/>
        <w:tc>
          <w:tcPr>
            <w:tcW w:w="6886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Tematica activităţilor didactice</w:t>
            </w:r>
          </w:p>
        </w:tc>
        <w:tc>
          <w:tcPr>
            <w:tcW w:w="2612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Numărul de ore</w:t>
            </w:r>
          </w:p>
        </w:tc>
      </w:tr>
      <w:tr>
        <w:trPr/>
        <w:tc>
          <w:tcPr>
            <w:tcW w:w="6886" w:type="dxa"/>
            <w:vMerge w:val="continue"/>
            <w:tcBorders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învăţământ cu frecvenţă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învăţământ cu frecvenţă redusă</w:t>
            </w:r>
          </w:p>
        </w:tc>
      </w:tr>
      <w:tr>
        <w:trPr/>
        <w:tc>
          <w:tcPr>
            <w:tcW w:w="9498" w:type="dxa"/>
            <w:gridSpan w:val="3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Tematica cursului</w:t>
            </w:r>
          </w:p>
        </w:tc>
      </w:tr>
      <w:tr>
        <w:trPr/>
        <w:tc>
          <w:tcPr>
            <w:tcW w:w="6886" w:type="dxa"/>
            <w:tcBorders/>
          </w:tcPr>
          <w:p>
            <w:pPr>
              <w:pStyle w:val="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/>
              <w:t>-</w:t>
            </w:r>
          </w:p>
        </w:tc>
        <w:tc>
          <w:tcPr>
            <w:tcW w:w="1269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343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86" w:type="dxa"/>
            <w:tcBorders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269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  <w:tc>
          <w:tcPr>
            <w:tcW w:w="1343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86" w:type="dxa"/>
            <w:tcBorders/>
            <w:vAlign w:val="center"/>
          </w:tcPr>
          <w:p>
            <w:pPr>
              <w:pStyle w:val="Normal"/>
              <w:jc w:val="righ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Total curs: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498" w:type="dxa"/>
            <w:gridSpan w:val="3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Tematica lucrărilor de laborator/seminarelor</w:t>
            </w:r>
          </w:p>
        </w:tc>
      </w:tr>
      <w:tr>
        <w:trPr/>
        <w:tc>
          <w:tcPr>
            <w:tcW w:w="6886" w:type="dxa"/>
            <w:tcBorders/>
            <w:vAlign w:val="cente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 Digital Age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 The History of Computing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 Peripherals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 Computer Architecture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 Storage Devices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/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6.Computer Software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7.Operating Systems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Computer Viruses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 Internet Security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The Internet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11.The World Wide Web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 The Future of IT</w:t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6886" w:type="dxa"/>
            <w:tcBorders>
              <w:top w:val="nil"/>
            </w:tcBorders>
            <w:vAlign w:val="center"/>
          </w:tcPr>
          <w:p>
            <w:pPr>
              <w:pStyle w:val="Normal"/>
              <w:ind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69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Cs/>
                <w:sz w:val="22"/>
                <w:szCs w:val="22"/>
              </w:rPr>
            </w:r>
          </w:p>
        </w:tc>
      </w:tr>
      <w:tr>
        <w:trPr/>
        <w:tc>
          <w:tcPr>
            <w:tcW w:w="6886" w:type="dxa"/>
            <w:tcBorders/>
            <w:vAlign w:val="cente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Total lucrări de laborator/seminare:</w:t>
            </w:r>
          </w:p>
        </w:tc>
        <w:tc>
          <w:tcPr>
            <w:tcW w:w="126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343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24</w:t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2"/>
          <w:szCs w:val="22"/>
        </w:rPr>
        <w:t>Referinţe bibliografice</w:t>
      </w:r>
    </w:p>
    <w:tbl>
      <w:tblPr>
        <w:tblStyle w:val="a8"/>
        <w:tblW w:w="9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90"/>
        <w:gridCol w:w="8107"/>
      </w:tblGrid>
      <w:tr>
        <w:trPr/>
        <w:tc>
          <w:tcPr>
            <w:tcW w:w="1390" w:type="dxa"/>
            <w:tcBorders/>
          </w:tcPr>
          <w:p>
            <w:pPr>
              <w:pStyle w:val="Normal"/>
              <w:spacing w:before="0" w:after="0"/>
              <w:ind w:left="-972" w:firstLine="9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Principale</w:t>
            </w:r>
          </w:p>
        </w:tc>
        <w:tc>
          <w:tcPr>
            <w:tcW w:w="8107" w:type="dxa"/>
            <w:tcBorders/>
          </w:tcPr>
          <w:p>
            <w:pPr>
              <w:pStyle w:val="Normal"/>
              <w:ind w:right="0" w:hanging="0"/>
              <w:rPr>
                <w:rFonts w:ascii="Calibri" w:hAnsi="Calibri" w:cs="Calibri"/>
                <w:b/>
                <w:b/>
                <w:color w:val="FF0000"/>
                <w:sz w:val="28"/>
                <w:szCs w:val="28"/>
              </w:rPr>
            </w:pPr>
            <w:r>
              <w:rPr>
                <w:rFonts w:cs="Calibri"/>
                <w:b/>
                <w:color w:val="FF0000"/>
                <w:sz w:val="28"/>
                <w:szCs w:val="28"/>
              </w:rPr>
            </w:r>
          </w:p>
          <w:p>
            <w:pPr>
              <w:pStyle w:val="TextBody"/>
              <w:widowControl/>
              <w:numPr>
                <w:ilvl w:val="0"/>
                <w:numId w:val="4"/>
              </w:numPr>
              <w:tabs>
                <w:tab w:val="clear" w:pos="708"/>
                <w:tab w:val="left" w:pos="450" w:leader="none"/>
              </w:tabs>
              <w:suppressAutoHyphens w:val="true"/>
              <w:bidi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/>
                <w:b w:val="false"/>
                <w:color w:val="000000"/>
                <w:sz w:val="22"/>
                <w:szCs w:val="22"/>
                <w:lang w:val="en-US"/>
              </w:rPr>
              <w:t xml:space="preserve">1.  INFOTECH. English for computer users. 4th edition. S.R. Esteras. </w:t>
            </w:r>
            <w:r>
              <w:rPr>
                <w:rFonts w:cs="Calibri" w:ascii="Times new Roman" w:hAnsi="Times new Roman"/>
                <w:b w:val="false"/>
                <w:color w:val="000000"/>
                <w:sz w:val="22"/>
                <w:szCs w:val="22"/>
              </w:rPr>
              <w:t>Oxford University Press, 2007.</w:t>
            </w:r>
          </w:p>
          <w:p>
            <w:pPr>
              <w:pStyle w:val="TextBody"/>
              <w:numPr>
                <w:ilvl w:val="0"/>
                <w:numId w:val="4"/>
              </w:numPr>
              <w:spacing w:before="0" w:after="1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 w:val="false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cs="Calibri" w:ascii="Times new Roman" w:hAnsi="Times new Roman"/>
                <w:b w:val="false"/>
                <w:color w:val="000000"/>
                <w:sz w:val="22"/>
                <w:szCs w:val="22"/>
              </w:rPr>
              <w:t>2.  Oxford English for Information Technology. Eric H. Glendinning/ John McEwan. Oxford University Press 2002.</w:t>
            </w:r>
          </w:p>
        </w:tc>
      </w:tr>
      <w:tr>
        <w:trPr/>
        <w:tc>
          <w:tcPr>
            <w:tcW w:w="1390" w:type="dxa"/>
            <w:tcBorders/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Suplimentare</w:t>
            </w:r>
          </w:p>
        </w:tc>
        <w:tc>
          <w:tcPr>
            <w:tcW w:w="8107" w:type="dxa"/>
            <w:tcBorders/>
          </w:tcPr>
          <w:p>
            <w:pPr>
              <w:pStyle w:val="Normal"/>
              <w:tabs>
                <w:tab w:val="clear" w:pos="708"/>
                <w:tab w:val="left" w:pos="2564" w:leader="none"/>
              </w:tabs>
              <w:jc w:val="center"/>
              <w:rPr>
                <w:rFonts w:cs="Calibri"/>
                <w:b/>
                <w:b/>
                <w:color w:val="000000"/>
                <w:lang w:val="ro-RO" w:eastAsia="ro-RO"/>
              </w:rPr>
            </w:pPr>
            <w:r>
              <w:rPr>
                <w:rFonts w:cs="Calibri"/>
                <w:b/>
                <w:color w:val="000000"/>
                <w:lang w:val="ro-RO" w:eastAsia="ro-RO"/>
              </w:rPr>
            </w:r>
          </w:p>
          <w:p>
            <w:pPr>
              <w:pStyle w:val="TextBody"/>
              <w:numPr>
                <w:ilvl w:val="0"/>
                <w:numId w:val="0"/>
              </w:numPr>
              <w:spacing w:lineRule="auto" w:line="228"/>
              <w:ind w:left="72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Calibri" w:ascii="Times new Roman" w:hAnsi="Times new Roman"/>
                <w:b w:val="false"/>
                <w:color w:val="000000"/>
                <w:sz w:val="22"/>
                <w:szCs w:val="22"/>
                <w:lang w:val="ro-RO" w:eastAsia="ro-RO"/>
              </w:rPr>
              <w:t xml:space="preserve">1. </w:t>
            </w:r>
            <w:r>
              <w:rPr>
                <w:rFonts w:eastAsia="Calibri" w:cs="Calibri" w:ascii="Times new Roman" w:hAnsi="Times new Roman"/>
                <w:b w:val="false"/>
                <w:sz w:val="22"/>
                <w:szCs w:val="22"/>
                <w:lang w:val="ro-RO"/>
              </w:rPr>
              <w:t>Andone C., Gâţă A., English for Computer Users, Galaţi, 2001.</w:t>
            </w:r>
          </w:p>
          <w:p>
            <w:pPr>
              <w:pStyle w:val="TextBody"/>
              <w:numPr>
                <w:ilvl w:val="0"/>
                <w:numId w:val="0"/>
              </w:numPr>
              <w:spacing w:lineRule="auto" w:line="228"/>
              <w:ind w:left="72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Calibri" w:ascii="Times new Roman" w:hAnsi="Times new Roman"/>
                <w:b w:val="false"/>
                <w:i/>
                <w:sz w:val="22"/>
                <w:szCs w:val="22"/>
                <w:lang w:val="ro-RO"/>
              </w:rPr>
              <w:t>2. Oxford Advanced Learner’s Dictionary</w:t>
            </w:r>
            <w:r>
              <w:rPr>
                <w:rFonts w:cs="Calibri" w:ascii="Times new Roman" w:hAnsi="Times new Roman"/>
                <w:b w:val="false"/>
                <w:sz w:val="22"/>
                <w:szCs w:val="22"/>
                <w:lang w:val="ro-RO"/>
              </w:rPr>
              <w:t>. International Student’s Edition, Oxford University press, 2000.</w:t>
            </w:r>
          </w:p>
          <w:p>
            <w:pPr>
              <w:pStyle w:val="TextBody"/>
              <w:numPr>
                <w:ilvl w:val="0"/>
                <w:numId w:val="0"/>
              </w:numPr>
              <w:ind w:left="720" w:right="0" w:hanging="0"/>
              <w:rPr>
                <w:rFonts w:ascii="Times New Roman" w:hAnsi="Times New Roman"/>
              </w:rPr>
            </w:pPr>
            <w:r>
              <w:rPr>
                <w:rFonts w:cs="Calibri" w:ascii="Times New Roman" w:hAnsi="Times New Roman"/>
                <w:b w:val="false"/>
                <w:sz w:val="22"/>
                <w:szCs w:val="22"/>
                <w:lang w:val="en-US"/>
              </w:rPr>
              <w:t xml:space="preserve">3. Methold K., Waters D., </w:t>
            </w:r>
            <w:r>
              <w:rPr>
                <w:rFonts w:cs="Calibri" w:ascii="Times New Roman" w:hAnsi="Times New Roman"/>
                <w:b w:val="false"/>
                <w:i/>
                <w:sz w:val="22"/>
                <w:szCs w:val="22"/>
                <w:lang w:val="en-US"/>
              </w:rPr>
              <w:t>Understanding Technical English</w:t>
            </w:r>
            <w:r>
              <w:rPr>
                <w:rFonts w:cs="Calibri" w:ascii="Times New Roman" w:hAnsi="Times New Roman"/>
                <w:b w:val="false"/>
                <w:sz w:val="22"/>
                <w:szCs w:val="22"/>
                <w:lang w:val="en-US"/>
              </w:rPr>
              <w:t>, Longman, Oxford, 1984.</w:t>
            </w:r>
          </w:p>
          <w:p>
            <w:pPr>
              <w:pStyle w:val="TextBody"/>
              <w:numPr>
                <w:ilvl w:val="0"/>
                <w:numId w:val="0"/>
              </w:numPr>
              <w:ind w:left="720" w:right="0" w:hanging="0"/>
              <w:rPr>
                <w:rFonts w:ascii="Times New Roman" w:hAnsi="Times New Roman"/>
              </w:rPr>
            </w:pPr>
            <w:r>
              <w:rPr>
                <w:rFonts w:eastAsia="Calibri" w:cs="Calibri" w:ascii="Times New Roman" w:hAnsi="Times New Roman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4.</w:t>
            </w:r>
            <w:r>
              <w:rPr>
                <w:rFonts w:eastAsia="Calibri" w:cs="Calibri" w:ascii="Times New Roman" w:hAnsi="Times New Roman"/>
                <w:color w:val="000000"/>
                <w:sz w:val="22"/>
                <w:szCs w:val="22"/>
                <w:lang w:eastAsia="ru-RU"/>
              </w:rPr>
              <w:t xml:space="preserve">  </w:t>
            </w:r>
            <w:r>
              <w:rPr>
                <w:rFonts w:cs="Calibri" w:ascii="Times New Roman" w:hAnsi="Times New Roman"/>
                <w:b w:val="false"/>
                <w:color w:val="000000"/>
                <w:sz w:val="22"/>
                <w:szCs w:val="22"/>
                <w:lang w:eastAsia="ru-RU"/>
              </w:rPr>
              <w:t>http://breakingnewsenglish.com/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360"/>
              <w:ind w:left="360" w:right="0" w:hanging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200"/>
        <w:ind w:left="720" w:hanging="0"/>
        <w:contextualSpacing/>
        <w:jc w:val="both"/>
        <w:rPr>
          <w:rFonts w:ascii="Times New Roman" w:hAnsi="Times New Roman" w:eastAsia="Calibri" w:cs="Times New Roman"/>
          <w:b/>
          <w:b/>
          <w:sz w:val="16"/>
          <w:szCs w:val="16"/>
        </w:rPr>
      </w:pPr>
      <w:r>
        <w:rPr>
          <w:rFonts w:eastAsia="Calibri" w:cs="Times New Roman" w:ascii="Times New Roman" w:hAnsi="Times New Roman"/>
          <w:b/>
          <w:sz w:val="16"/>
          <w:szCs w:val="16"/>
        </w:rPr>
      </w:r>
    </w:p>
    <w:p>
      <w:pPr>
        <w:pStyle w:val="Normal"/>
        <w:numPr>
          <w:ilvl w:val="0"/>
          <w:numId w:val="1"/>
        </w:numPr>
        <w:spacing w:before="0" w:after="200"/>
        <w:contextualSpacing/>
        <w:jc w:val="center"/>
        <w:rPr/>
      </w:pPr>
      <w:r>
        <w:rPr>
          <w:rFonts w:eastAsia="Calibri" w:cs="Times New Roman" w:ascii="Times New Roman" w:hAnsi="Times New Roman"/>
          <w:b/>
          <w:sz w:val="22"/>
          <w:szCs w:val="22"/>
        </w:rPr>
        <w:t>Evaluare</w:t>
      </w:r>
    </w:p>
    <w:tbl>
      <w:tblPr>
        <w:tblStyle w:val="a8"/>
        <w:tblW w:w="9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80"/>
        <w:gridCol w:w="1468"/>
        <w:gridCol w:w="1418"/>
        <w:gridCol w:w="1830"/>
        <w:gridCol w:w="1258"/>
        <w:gridCol w:w="2043"/>
      </w:tblGrid>
      <w:tr>
        <w:trPr/>
        <w:tc>
          <w:tcPr>
            <w:tcW w:w="2948" w:type="dxa"/>
            <w:gridSpan w:val="2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Periodică</w:t>
            </w:r>
          </w:p>
        </w:tc>
        <w:tc>
          <w:tcPr>
            <w:tcW w:w="1418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Curentă</w:t>
            </w:r>
          </w:p>
        </w:tc>
        <w:tc>
          <w:tcPr>
            <w:tcW w:w="1830" w:type="dxa"/>
            <w:vMerge w:val="restart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Studiu individual</w:t>
            </w:r>
          </w:p>
        </w:tc>
        <w:tc>
          <w:tcPr>
            <w:tcW w:w="1258" w:type="dxa"/>
            <w:vMerge w:val="restart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Proiect/teză</w:t>
            </w:r>
          </w:p>
        </w:tc>
        <w:tc>
          <w:tcPr>
            <w:tcW w:w="2043" w:type="dxa"/>
            <w:vMerge w:val="restart"/>
            <w:tcBorders/>
            <w:vAlign w:val="center"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Examen final</w:t>
            </w:r>
          </w:p>
        </w:tc>
      </w:tr>
      <w:tr>
        <w:trPr/>
        <w:tc>
          <w:tcPr>
            <w:tcW w:w="1480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EP 1</w:t>
            </w:r>
          </w:p>
        </w:tc>
        <w:tc>
          <w:tcPr>
            <w:tcW w:w="1468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EP 2</w:t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30" w:type="dxa"/>
            <w:vMerge w:val="continue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258" w:type="dxa"/>
            <w:vMerge w:val="continue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43" w:type="dxa"/>
            <w:vMerge w:val="continue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1480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8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60%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15%</w:t>
            </w:r>
          </w:p>
        </w:tc>
        <w:tc>
          <w:tcPr>
            <w:tcW w:w="1830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15%</w:t>
            </w:r>
          </w:p>
        </w:tc>
        <w:tc>
          <w:tcPr>
            <w:tcW w:w="1258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043" w:type="dxa"/>
            <w:tcBorders/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40%</w:t>
            </w:r>
          </w:p>
        </w:tc>
      </w:tr>
      <w:tr>
        <w:trPr/>
        <w:tc>
          <w:tcPr>
            <w:tcW w:w="9497" w:type="dxa"/>
            <w:gridSpan w:val="6"/>
            <w:tcBorders/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Standard minim de performanţă: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9" w:name="page44R_mcid78"/>
            <w:bookmarkEnd w:id="39"/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- Prezenţa şi activitatea la lucrările practice; </w:t>
            </w:r>
            <w:bookmarkStart w:id="40" w:name="page44R_mcid79"/>
            <w:bookmarkEnd w:id="40"/>
            <w:r>
              <w:rPr>
                <w:rFonts w:cs="Times New Roman" w:ascii="Times New Roman" w:hAnsi="Times New Roman"/>
                <w:sz w:val="22"/>
                <w:szCs w:val="22"/>
              </w:rPr>
              <w:br/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Obţinerea notei minime de „5” la una dintre atestări; </w:t>
            </w:r>
            <w:bookmarkStart w:id="41" w:name="page44R_mcid80"/>
            <w:bookmarkEnd w:id="41"/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 xml:space="preserve">- Obţinerea notei minime de „5” la evaluările curente; </w:t>
            </w:r>
            <w:bookmarkStart w:id="42" w:name="page44R_mcid81"/>
            <w:bookmarkEnd w:id="42"/>
            <w:r>
              <w:rPr>
                <w:rFonts w:cs="Times New Roman" w:ascii="Times New Roman" w:hAnsi="Times New Roman"/>
                <w:sz w:val="20"/>
                <w:szCs w:val="20"/>
              </w:rPr>
              <w:br/>
              <w:t>- Demonstrarea în cadrul examenului final a celor patru competențe specifice nivelului lingvistic (intermediate) B2</w:t>
            </w:r>
            <w:r>
              <w:rPr>
                <w:rFonts w:cs="Times New Roman" w:ascii="sans-serif" w:hAnsi="sans-serif"/>
                <w:sz w:val="20"/>
                <w:szCs w:val="20"/>
              </w:rPr>
              <w:t>.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850" w:header="708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sto MT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cc"/>
    <w:family w:val="swiss"/>
    <w:pitch w:val="variable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  <w:font w:name="sans-serif">
    <w:altName w:val="Arial"/>
    <w:charset w:val="01"/>
    <w:family w:val="roman"/>
    <w:pitch w:val="variable"/>
  </w:font>
  <w:font w:name="Times New Roman">
    <w:altName w:val="Bold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8"/>
      <w:tblW w:w="9339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1554"/>
      <w:gridCol w:w="4819"/>
      <w:gridCol w:w="1561"/>
      <w:gridCol w:w="1404"/>
    </w:tblGrid>
    <w:tr>
      <w:trPr/>
      <w:tc>
        <w:tcPr>
          <w:tcW w:w="1554" w:type="dxa"/>
          <w:vMerge w:val="restart"/>
          <w:tcBorders/>
        </w:tcPr>
        <w:p>
          <w:pPr>
            <w:pStyle w:val="Header"/>
            <w:rPr/>
          </w:pPr>
          <w:r>
            <w:rPr/>
            <w:drawing>
              <wp:inline distT="0" distB="0" distL="0" distR="0">
                <wp:extent cx="727075" cy="727075"/>
                <wp:effectExtent l="0" t="0" r="0" b="0"/>
                <wp:docPr id="3" name="Рисунок 29" descr="page20image29798649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29" descr="page20image29798649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/>
          <w:vAlign w:val="center"/>
        </w:tcPr>
        <w:p>
          <w:pPr>
            <w:pStyle w:val="Header"/>
            <w:jc w:val="center"/>
            <w:rPr>
              <w:b/>
              <w:b/>
            </w:rPr>
          </w:pPr>
          <w:r>
            <w:rPr>
              <w:rFonts w:cs="Times New Roman" w:ascii="Times New Roman" w:hAnsi="Times New Roman"/>
              <w:b/>
              <w:color w:val="191919" w:themeColor="text1" w:themeTint="e6"/>
              <w:sz w:val="22"/>
              <w:szCs w:val="20"/>
            </w:rPr>
            <w:t>FIȘA DISCIPLINEI/MODULULUI</w:t>
          </w:r>
        </w:p>
        <w:p>
          <w:pPr>
            <w:pStyle w:val="Normal"/>
            <w:jc w:val="center"/>
            <w:rPr>
              <w:b/>
              <w:b/>
            </w:rPr>
          </w:pPr>
          <w:r>
            <w:rPr>
              <w:rFonts w:cs="Times New Roman" w:ascii="Times New Roman" w:hAnsi="Times New Roman"/>
              <w:b/>
              <w:bCs/>
              <w:smallCaps/>
              <w:color w:val="191919" w:themeColor="text1" w:themeTint="e6"/>
              <w:sz w:val="22"/>
              <w:szCs w:val="20"/>
            </w:rPr>
            <w:t>LIMBA ENGLEZĂ  - LIMBAJ SPECIALIZAT</w:t>
          </w:r>
        </w:p>
      </w:tc>
      <w:tc>
        <w:tcPr>
          <w:tcW w:w="2965" w:type="dxa"/>
          <w:gridSpan w:val="2"/>
          <w:tcBorders/>
        </w:tcPr>
        <w:p>
          <w:pPr>
            <w:pStyle w:val="Header"/>
            <w:rPr/>
          </w:pPr>
          <w:r>
            <w:rPr>
              <w:rFonts w:ascii="Times New Roman,Bold" w:hAnsi="Times New Roman,Bold"/>
              <w:sz w:val="22"/>
            </w:rPr>
            <w:t xml:space="preserve">Cod: </w:t>
          </w:r>
          <w:r>
            <w:rPr>
              <w:rFonts w:ascii="Calibri;sans-serif" w:hAnsi="Calibri;sans-serif"/>
              <w:b/>
              <w:sz w:val="22"/>
              <w:szCs w:val="22"/>
              <w:lang w:val="en-US"/>
            </w:rPr>
            <w:t>COD: G.01.O.020</w:t>
          </w:r>
        </w:p>
      </w:tc>
    </w:tr>
    <w:tr>
      <w:trPr/>
      <w:tc>
        <w:tcPr>
          <w:tcW w:w="1554" w:type="dxa"/>
          <w:vMerge w:val="continue"/>
          <w:tcBorders/>
        </w:tcPr>
        <w:p>
          <w:pPr>
            <w:pStyle w:val="Header"/>
            <w:rPr/>
          </w:pPr>
          <w:r>
            <w:rPr/>
          </w:r>
        </w:p>
      </w:tc>
      <w:tc>
        <w:tcPr>
          <w:tcW w:w="4819" w:type="dxa"/>
          <w:vMerge w:val="continue"/>
          <w:tcBorders/>
        </w:tcPr>
        <w:p>
          <w:pPr>
            <w:pStyle w:val="Header"/>
            <w:rPr/>
          </w:pPr>
          <w:r>
            <w:rPr/>
          </w:r>
        </w:p>
      </w:tc>
      <w:tc>
        <w:tcPr>
          <w:tcW w:w="1561" w:type="dxa"/>
          <w:tcBorders/>
        </w:tcPr>
        <w:p>
          <w:pPr>
            <w:pStyle w:val="Header"/>
            <w:rPr/>
          </w:pPr>
          <w:r>
            <w:rPr>
              <w:rFonts w:cs="Times New Roman" w:ascii="Times New Roman" w:hAnsi="Times New Roman"/>
              <w:b/>
              <w:sz w:val="22"/>
            </w:rPr>
            <w:t>Ediția</w:t>
          </w:r>
        </w:p>
      </w:tc>
      <w:tc>
        <w:tcPr>
          <w:tcW w:w="1404" w:type="dxa"/>
          <w:tcBorders/>
        </w:tcPr>
        <w:p>
          <w:pPr>
            <w:pStyle w:val="Header"/>
            <w:rPr>
              <w:rFonts w:ascii="Times New Roman" w:hAnsi="Times New Roman" w:cs="Times New Roman"/>
              <w:b/>
              <w:b/>
              <w:sz w:val="22"/>
            </w:rPr>
          </w:pPr>
          <w:r>
            <w:rPr>
              <w:rFonts w:cs="Times New Roman" w:ascii="Times New Roman" w:hAnsi="Times New Roman"/>
              <w:b/>
              <w:sz w:val="22"/>
            </w:rPr>
            <w:t>26.08.2021</w:t>
          </w:r>
        </w:p>
      </w:tc>
    </w:tr>
    <w:tr>
      <w:trPr>
        <w:trHeight w:val="370" w:hRule="atLeast"/>
      </w:trPr>
      <w:tc>
        <w:tcPr>
          <w:tcW w:w="1554" w:type="dxa"/>
          <w:vMerge w:val="continue"/>
          <w:tcBorders/>
        </w:tcPr>
        <w:p>
          <w:pPr>
            <w:pStyle w:val="Header"/>
            <w:rPr/>
          </w:pPr>
          <w:r>
            <w:rPr/>
          </w:r>
        </w:p>
      </w:tc>
      <w:tc>
        <w:tcPr>
          <w:tcW w:w="4819" w:type="dxa"/>
          <w:vMerge w:val="continue"/>
          <w:tcBorders/>
        </w:tcPr>
        <w:p>
          <w:pPr>
            <w:pStyle w:val="Header"/>
            <w:rPr/>
          </w:pPr>
          <w:r>
            <w:rPr/>
          </w:r>
        </w:p>
      </w:tc>
      <w:tc>
        <w:tcPr>
          <w:tcW w:w="1561" w:type="dxa"/>
          <w:tcBorders/>
        </w:tcPr>
        <w:p>
          <w:pPr>
            <w:pStyle w:val="Header"/>
            <w:rPr/>
          </w:pPr>
          <w:r>
            <w:rPr>
              <w:rFonts w:cs="Times New Roman" w:ascii="Times New Roman" w:hAnsi="Times New Roman"/>
              <w:b/>
              <w:color w:val="191919" w:themeColor="text1" w:themeTint="e6"/>
              <w:sz w:val="22"/>
              <w:lang w:val="ru-RU"/>
            </w:rPr>
            <w:t>Revizia</w:t>
          </w:r>
        </w:p>
      </w:tc>
      <w:tc>
        <w:tcPr>
          <w:tcW w:w="1404" w:type="dxa"/>
          <w:tcBorders/>
        </w:tcPr>
        <w:p>
          <w:pPr>
            <w:pStyle w:val="Header"/>
            <w:rPr>
              <w:rFonts w:ascii="Times New Roman" w:hAnsi="Times New Roman" w:cs="Times New Roman"/>
              <w:b/>
              <w:b/>
              <w:sz w:val="22"/>
            </w:rPr>
          </w:pPr>
          <w:r>
            <w:rPr>
              <w:rFonts w:cs="Times New Roman" w:ascii="Times New Roman" w:hAnsi="Times New Roman"/>
              <w:b/>
              <w:sz w:val="22"/>
            </w:rPr>
            <w:t>0</w:t>
          </w:r>
        </w:p>
      </w:tc>
    </w:tr>
    <w:tr>
      <w:trPr/>
      <w:tc>
        <w:tcPr>
          <w:tcW w:w="1554" w:type="dxa"/>
          <w:vMerge w:val="continue"/>
          <w:tcBorders/>
        </w:tcPr>
        <w:p>
          <w:pPr>
            <w:pStyle w:val="Header"/>
            <w:rPr/>
          </w:pPr>
          <w:r>
            <w:rPr/>
          </w:r>
        </w:p>
      </w:tc>
      <w:tc>
        <w:tcPr>
          <w:tcW w:w="4819" w:type="dxa"/>
          <w:vMerge w:val="continue"/>
          <w:tcBorders/>
        </w:tcPr>
        <w:p>
          <w:pPr>
            <w:pStyle w:val="Header"/>
            <w:rPr/>
          </w:pPr>
          <w:r>
            <w:rPr/>
          </w:r>
        </w:p>
      </w:tc>
      <w:tc>
        <w:tcPr>
          <w:tcW w:w="1561" w:type="dxa"/>
          <w:tcBorders/>
        </w:tcPr>
        <w:p>
          <w:pPr>
            <w:pStyle w:val="Normal"/>
            <w:spacing w:before="0" w:after="0"/>
            <w:contextualSpacing/>
            <w:rPr>
              <w:rFonts w:ascii="Times New Roman" w:hAnsi="Times New Roman" w:cs="Times New Roman"/>
              <w:b/>
              <w:b/>
              <w:color w:val="191919" w:themeColor="text1" w:themeTint="e6"/>
              <w:sz w:val="22"/>
              <w:lang w:val="ru-RU"/>
            </w:rPr>
          </w:pPr>
          <w:r>
            <w:rPr>
              <w:rFonts w:cs="Times New Roman" w:ascii="Times New Roman" w:hAnsi="Times New Roman"/>
              <w:b/>
              <w:sz w:val="22"/>
            </w:rPr>
            <w:t>P</w:t>
          </w:r>
          <w:r>
            <w:rPr>
              <w:rFonts w:cs="Times New Roman" w:ascii="Times New Roman" w:hAnsi="Times New Roman"/>
              <w:b/>
              <w:color w:val="191919" w:themeColor="text1" w:themeTint="e6"/>
              <w:sz w:val="22"/>
              <w:lang w:val="ru-RU"/>
            </w:rPr>
            <w:t>agina</w:t>
          </w:r>
        </w:p>
      </w:tc>
      <w:tc>
        <w:tcPr>
          <w:tcW w:w="1404" w:type="dxa"/>
          <w:tcBorders/>
        </w:tcPr>
        <w:p>
          <w:pPr>
            <w:pStyle w:val="Header"/>
            <w:rPr/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4</w:t>
          </w:r>
          <w:r>
            <w:rPr/>
            <w:fldChar w:fldCharType="end"/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MD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ru-MD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ro-R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d10994"/>
    <w:rPr>
      <w:lang w:val="ro-RO"/>
    </w:rPr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d10994"/>
    <w:rPr>
      <w:lang w:val="ro-RO"/>
    </w:rPr>
  </w:style>
  <w:style w:type="character" w:styleId="InternetLink">
    <w:name w:val="Hyperlink"/>
    <w:basedOn w:val="DefaultParagraphFont"/>
    <w:uiPriority w:val="99"/>
    <w:unhideWhenUsed/>
    <w:rsid w:val="00d10994"/>
    <w:rPr>
      <w:color w:val="0000FF"/>
      <w:u w:val="single"/>
    </w:rPr>
  </w:style>
  <w:style w:type="character" w:styleId="WW8Num2z0">
    <w:name w:val="WW8Num2z0"/>
    <w:qFormat/>
    <w:rPr>
      <w:rFonts w:ascii="Calibri" w:hAnsi="Calibri" w:cs="Calibri"/>
      <w:b w:val="false"/>
      <w:i/>
      <w:sz w:val="22"/>
      <w:szCs w:val="22"/>
      <w:lang w:val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unhideWhenUsed/>
    <w:rsid w:val="00d1099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a7"/>
    <w:uiPriority w:val="99"/>
    <w:unhideWhenUsed/>
    <w:rsid w:val="00d1099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d10994"/>
    <w:pPr>
      <w:spacing w:lineRule="auto" w:line="360" w:before="0" w:afterAutospacing="1"/>
      <w:contextualSpacing/>
    </w:pPr>
    <w:rPr>
      <w:rFonts w:ascii="Calisto MT" w:hAnsi="Calisto MT" w:eastAsia="" w:eastAsiaTheme="minorEastAsia"/>
      <w:color w:val="191919" w:themeColor="text1" w:themeTint="e6"/>
      <w:sz w:val="20"/>
      <w:szCs w:val="20"/>
      <w:lang w:val="en-US"/>
    </w:rPr>
  </w:style>
  <w:style w:type="paragraph" w:styleId="Style16">
    <w:name w:val="Абзац списка"/>
    <w:basedOn w:val="Normal"/>
    <w:qFormat/>
    <w:pPr>
      <w:spacing w:before="0" w:after="0"/>
      <w:ind w:left="720" w:right="0" w:hanging="0"/>
      <w:contextualSpacing/>
    </w:pPr>
    <w:rPr>
      <w:lang w:val="ru-RU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d109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tm.md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D1B72C-CB1E-B544-92A7-88CA17B9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LibreOffice/6.4.7.2$Linux_X86_64 LibreOffice_project/40$Build-2</Application>
  <Pages>4</Pages>
  <Words>825</Words>
  <Characters>5407</Characters>
  <CharactersWithSpaces>6111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2021-06-28T11:20:00Z</dcterms:created>
  <dc:creator>Microsoft Office User</dc:creator>
  <dc:description/>
  <dc:language>ro-RO</dc:language>
  <cp:lastModifiedBy/>
  <dcterms:modified xsi:type="dcterms:W3CDTF">2022-04-03T17:00:32Z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