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9958" w14:textId="2B9590C3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Etapa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4141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Livrarea proiectului </w:t>
      </w:r>
    </w:p>
    <w:p w14:paraId="6B6087E1" w14:textId="77777777" w:rsidR="004141AE" w:rsidRPr="004141AE" w:rsidRDefault="004141AE" w:rsidP="002811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Informații input</w:t>
      </w:r>
      <w:r w:rsidRPr="004141AE">
        <w:rPr>
          <w:rFonts w:ascii="Times New Roman" w:hAnsi="Times New Roman" w:cs="Times New Roman"/>
          <w:sz w:val="28"/>
          <w:szCs w:val="28"/>
          <w:lang w:val="en-US"/>
        </w:rPr>
        <w:t>: rezultatele de la etapa 4 și 5</w:t>
      </w:r>
      <w:r w:rsidRPr="004141A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Obiective</w:t>
      </w:r>
      <w:r w:rsidRPr="004141AE">
        <w:rPr>
          <w:rFonts w:ascii="Times New Roman" w:hAnsi="Times New Roman" w:cs="Times New Roman"/>
          <w:sz w:val="28"/>
          <w:szCs w:val="28"/>
          <w:lang w:val="en-US"/>
        </w:rPr>
        <w:t>: finalizarea proiectului;</w:t>
      </w:r>
      <w:r w:rsidRPr="004141A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Livrabile</w:t>
      </w:r>
      <w:r w:rsidRPr="004141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49A471" w14:textId="77777777" w:rsidR="004141AE" w:rsidRPr="004141AE" w:rsidRDefault="004141AE" w:rsidP="00BD1F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  <w:lang w:val="en-US"/>
        </w:rPr>
        <w:t>versiunea finală a proiectului, a documentelor de specificatii și a documentației (dacă acestea fac parte din contract);</w:t>
      </w:r>
    </w:p>
    <w:p w14:paraId="31367DDC" w14:textId="77777777" w:rsidR="004141AE" w:rsidRPr="004141AE" w:rsidRDefault="004141AE" w:rsidP="00BD1F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  <w:lang w:val="en-US"/>
        </w:rPr>
        <w:t>ultimele livrari ale proiectului final și implementarea pe serverul de producție;</w:t>
      </w:r>
    </w:p>
    <w:p w14:paraId="12872FAD" w14:textId="77777777" w:rsidR="004141AE" w:rsidRPr="004141AE" w:rsidRDefault="004141AE" w:rsidP="00BD1F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  <w:lang w:val="en-US"/>
        </w:rPr>
        <w:t>manualul utilizatorului și training utilizatori / administrator (la cerere sau dacă este inclus în buget).</w:t>
      </w:r>
    </w:p>
    <w:p w14:paraId="673CAFA6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6A41DC88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Finalizarea proiectului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constă în acceptarea formalizată a rezultatelor proiectului și terminarea ordonată a acestuia. Finalizarea include:</w:t>
      </w:r>
    </w:p>
    <w:p w14:paraId="7BB62B23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închiderea administrativă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care implică generarea, colectarea și diseminarea informațiilor pentru a formaliza terminarea proiectului;</w:t>
      </w:r>
    </w:p>
    <w:p w14:paraId="16A1E6D6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închiderea contractului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: terminarea și decontarea contractului, inclusiv rezolvarea oricăror probleme deschise.</w:t>
      </w:r>
    </w:p>
    <w:p w14:paraId="5C2162CD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Închiderea administrativă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constă din verificarea și documentarea rezultatelor proiectului, pentru a formaliza acceptarea produsului proiectului de către sponsor, client sau beneficiar. Rezultatele proiectului pot fi dezvoltate sub următoarele forme: rezultate arhivate, rezultate reutilizabile, rezultate acceptate (predate beneficiarului). Inchiderea administrativă include colectarea înregistrărilor proiectului, asigurarea că acestea reflectă specificațiile finale, analiza succesului proiectului și a beneficiilor obținute, arhivarea acestor informații. Trebuie pregătită și distribuită 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acceptarea formală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sub forma documentației care confirmă că sponsorul sau clientul au acceptat rezultatele proiectului, iar acestea sunt în concordanță cu specificațiile.</w:t>
      </w:r>
    </w:p>
    <w:p w14:paraId="07D8421F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Închiderea contractului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este similară cu închiderea administrativă prin faptul că include atât verificarea produsului final, cât și actualizarea înregistrărilor care reflectă rezultatele finale și arhivarea informațiilor pentru utilizări viitoare.</w:t>
      </w:r>
    </w:p>
    <w:p w14:paraId="0E6D451B" w14:textId="2B35C42A" w:rsidR="00A0082C" w:rsidRPr="00A0082C" w:rsidRDefault="00A0082C" w:rsidP="00BD1F5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Documentația proiectului</w:t>
      </w:r>
    </w:p>
    <w:p w14:paraId="1100C5DF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Documentele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proiectului includ toate datele, informațiile, cunoștințele necesare pentru a sprijini activitățile proiectului, pe parcursul întregului ciclu de viață. Un set minim de astfel de documente include:</w:t>
      </w:r>
    </w:p>
    <w:p w14:paraId="65B3C42A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rezumatul proiectului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cuprinde informații necesare pentru a sprijini demararea (start-up) proiectului;</w:t>
      </w:r>
    </w:p>
    <w:p w14:paraId="3C797C63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studiul economic al afacerii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business case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-l.engl.) este un document esențial care justifică montajul proiectului;</w:t>
      </w:r>
    </w:p>
    <w:p w14:paraId="1BA5C8D8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documentul de inițiere a proiectului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conține toate informațiile care descriu "ce, de ce, când, cine, cum (what, why, when, who, how)";</w:t>
      </w:r>
    </w:p>
    <w:p w14:paraId="4216C901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planul proiectului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sau 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planul de execuție a proiectului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care trebuie revăzut și up-datat în timpul ciclului de viață al proiectului;</w:t>
      </w:r>
    </w:p>
    <w:p w14:paraId="7F2A1096" w14:textId="77777777" w:rsidR="00A0082C" w:rsidRPr="00A0082C" w:rsidRDefault="00A0082C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82C">
        <w:rPr>
          <w:rFonts w:ascii="Times New Roman" w:hAnsi="Times New Roman" w:cs="Times New Roman"/>
          <w:sz w:val="28"/>
          <w:szCs w:val="28"/>
          <w:lang w:val="en-US"/>
        </w:rPr>
        <w:t>٭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raportul final al proiectului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analiza post-proiect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sau </w:t>
      </w:r>
      <w:r w:rsidRPr="00A0082C">
        <w:rPr>
          <w:rFonts w:ascii="Times New Roman" w:hAnsi="Times New Roman" w:cs="Times New Roman"/>
          <w:i/>
          <w:iCs/>
          <w:sz w:val="28"/>
          <w:szCs w:val="28"/>
          <w:lang w:val="en-US"/>
        </w:rPr>
        <w:t>analiza post-implementare</w:t>
      </w:r>
      <w:r w:rsidRPr="00A0082C">
        <w:rPr>
          <w:rFonts w:ascii="Times New Roman" w:hAnsi="Times New Roman" w:cs="Times New Roman"/>
          <w:sz w:val="28"/>
          <w:szCs w:val="28"/>
          <w:lang w:val="en-US"/>
        </w:rPr>
        <w:t> -documente care dovedesc dacă au fost realizate beneficii și care oferă recomandări pentru îmbunătățiri viitoare.</w:t>
      </w:r>
    </w:p>
    <w:p w14:paraId="372592D7" w14:textId="77777777" w:rsid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B4D1F" w14:textId="10C02A5B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Procesele închiderii vor fi:</w:t>
      </w:r>
    </w:p>
    <w:p w14:paraId="0DEA60BA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-          închiderea contractelor</w:t>
      </w:r>
    </w:p>
    <w:p w14:paraId="738D7777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-          măsuri administrative de închidere – culegerea şi diseminarea informaţiilor pentru a da formă legală legală operaţiunii de închidere a proiectului</w:t>
      </w:r>
    </w:p>
    <w:p w14:paraId="152CFD67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Postanaliza derulării proiectelor este o componentă care capătă o importanţă din ce în ce mai mare. Aceasta se datorează faptului că experienţa acumulată pe parcursul realizării unui proiect va conduce la evitarea unor greşeli din trecut pentru noile proiecte.</w:t>
      </w:r>
    </w:p>
    <w:p w14:paraId="7A0224EB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Există şi situaţii în care proiectele se pot termina în mod anormal. Cauzele care stau la baza acestor eşecuri sunt:</w:t>
      </w:r>
    </w:p>
    <w:p w14:paraId="3F4F36AB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·         planificarea iniţială greşită</w:t>
      </w:r>
    </w:p>
    <w:p w14:paraId="5CF11C28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·         resursele alocate insuficiente</w:t>
      </w:r>
    </w:p>
    <w:p w14:paraId="28D202CC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·         schimbările survenite în strategia şi interesele instituţiei</w:t>
      </w:r>
    </w:p>
    <w:p w14:paraId="1BC224E7" w14:textId="77777777" w:rsidR="004141AE" w:rsidRPr="004141AE" w:rsidRDefault="004141AE" w:rsidP="00BD1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sz w:val="28"/>
          <w:szCs w:val="28"/>
        </w:rPr>
        <w:t>·         plecarea unor oameni cheie din proiect</w:t>
      </w:r>
    </w:p>
    <w:p w14:paraId="26942F87" w14:textId="5D5CF738" w:rsidR="00E87CDD" w:rsidRDefault="004141AE" w:rsidP="00BD1F56">
      <w:pPr>
        <w:jc w:val="both"/>
        <w:rPr>
          <w:rFonts w:ascii="Times New Roman" w:hAnsi="Times New Roman" w:cs="Times New Roman"/>
          <w:sz w:val="28"/>
          <w:szCs w:val="28"/>
        </w:rPr>
      </w:pPr>
      <w:r w:rsidRPr="004141AE">
        <w:rPr>
          <w:rFonts w:ascii="Times New Roman" w:hAnsi="Times New Roman" w:cs="Times New Roman"/>
          <w:sz w:val="28"/>
          <w:szCs w:val="28"/>
        </w:rPr>
        <w:t>·         depăşirea timpului prevăzut</w:t>
      </w:r>
    </w:p>
    <w:p w14:paraId="7F1779C7" w14:textId="77777777" w:rsidR="00F23276" w:rsidRPr="00F23276" w:rsidRDefault="00F23276" w:rsidP="00F2327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23276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Operare</w:t>
      </w:r>
    </w:p>
    <w:p w14:paraId="42A7D6A2" w14:textId="3484A5B5" w:rsidR="00F23276" w:rsidRPr="00F23276" w:rsidRDefault="00F23276" w:rsidP="00F2327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76">
        <w:rPr>
          <w:rFonts w:ascii="Times New Roman" w:hAnsi="Times New Roman" w:cs="Times New Roman"/>
          <w:sz w:val="28"/>
          <w:szCs w:val="28"/>
          <w:lang w:val="en-US"/>
        </w:rPr>
        <w:t xml:space="preserve">În etapa de utilizare,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F23276">
        <w:rPr>
          <w:rFonts w:ascii="Times New Roman" w:hAnsi="Times New Roman" w:cs="Times New Roman"/>
          <w:sz w:val="28"/>
          <w:szCs w:val="28"/>
          <w:lang w:val="en-US"/>
        </w:rPr>
        <w:t xml:space="preserve"> închei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3276">
        <w:rPr>
          <w:rFonts w:ascii="Times New Roman" w:hAnsi="Times New Roman" w:cs="Times New Roman"/>
          <w:sz w:val="28"/>
          <w:szCs w:val="28"/>
          <w:lang w:val="en-US"/>
        </w:rPr>
        <w:t xml:space="preserve"> proiectul și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F23276">
        <w:rPr>
          <w:rFonts w:ascii="Times New Roman" w:hAnsi="Times New Roman" w:cs="Times New Roman"/>
          <w:sz w:val="28"/>
          <w:szCs w:val="28"/>
          <w:lang w:val="en-US"/>
        </w:rPr>
        <w:t xml:space="preserve"> identific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F23276">
        <w:rPr>
          <w:rFonts w:ascii="Times New Roman" w:hAnsi="Times New Roman" w:cs="Times New Roman"/>
          <w:sz w:val="28"/>
          <w:szCs w:val="28"/>
          <w:lang w:val="en-US"/>
        </w:rPr>
        <w:t xml:space="preserve"> orice formă de suport tehnic sau asistență de care </w:t>
      </w:r>
      <w:r>
        <w:rPr>
          <w:rFonts w:ascii="Times New Roman" w:hAnsi="Times New Roman" w:cs="Times New Roman"/>
          <w:sz w:val="28"/>
          <w:szCs w:val="28"/>
          <w:lang w:val="en-US"/>
        </w:rPr>
        <w:t>cloientul are</w:t>
      </w:r>
      <w:r w:rsidRPr="00F23276">
        <w:rPr>
          <w:rFonts w:ascii="Times New Roman" w:hAnsi="Times New Roman" w:cs="Times New Roman"/>
          <w:sz w:val="28"/>
          <w:szCs w:val="28"/>
          <w:lang w:val="en-US"/>
        </w:rPr>
        <w:t xml:space="preserve"> nevoie în timpul tranziției. Printre activitățile cheie și livrabile se numără:</w:t>
      </w:r>
    </w:p>
    <w:p w14:paraId="3BE1CAC3" w14:textId="77777777" w:rsidR="00F23276" w:rsidRPr="00F23276" w:rsidRDefault="00F23276" w:rsidP="00F23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76">
        <w:rPr>
          <w:rFonts w:ascii="Times New Roman" w:hAnsi="Times New Roman" w:cs="Times New Roman"/>
          <w:sz w:val="28"/>
          <w:szCs w:val="28"/>
          <w:lang w:val="en-US"/>
        </w:rPr>
        <w:t>Realizarea testului de recuperare în caz de dezastru</w:t>
      </w:r>
    </w:p>
    <w:p w14:paraId="602C605F" w14:textId="77777777" w:rsidR="00F23276" w:rsidRPr="00F23276" w:rsidRDefault="00F23276" w:rsidP="00F23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76">
        <w:rPr>
          <w:rFonts w:ascii="Times New Roman" w:hAnsi="Times New Roman" w:cs="Times New Roman"/>
          <w:sz w:val="28"/>
          <w:szCs w:val="28"/>
          <w:lang w:val="en-US"/>
        </w:rPr>
        <w:t>Furnizarea de suport tehnic în timpul utilizării</w:t>
      </w:r>
    </w:p>
    <w:p w14:paraId="217A0BEF" w14:textId="77777777" w:rsidR="00F23276" w:rsidRPr="00F23276" w:rsidRDefault="00F23276" w:rsidP="00F23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76">
        <w:rPr>
          <w:rFonts w:ascii="Times New Roman" w:hAnsi="Times New Roman" w:cs="Times New Roman"/>
          <w:sz w:val="28"/>
          <w:szCs w:val="28"/>
          <w:lang w:val="en-US"/>
        </w:rPr>
        <w:t>Evaluarea livrabilelor în comparație cu anvergura funcțională și închiderea proiectului</w:t>
      </w:r>
    </w:p>
    <w:p w14:paraId="6228871F" w14:textId="77777777" w:rsidR="00F23276" w:rsidRPr="00F23276" w:rsidRDefault="00F23276" w:rsidP="00F23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76">
        <w:rPr>
          <w:rFonts w:ascii="Times New Roman" w:hAnsi="Times New Roman" w:cs="Times New Roman"/>
          <w:sz w:val="28"/>
          <w:szCs w:val="28"/>
          <w:lang w:val="en-US"/>
        </w:rPr>
        <w:t>Menținerea permanenta a calității și a strategiei de testare</w:t>
      </w:r>
    </w:p>
    <w:p w14:paraId="452346FD" w14:textId="77777777" w:rsidR="00F23276" w:rsidRPr="00F23276" w:rsidRDefault="00F23276" w:rsidP="007F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142093" w14:textId="698241CD" w:rsidR="007F00F1" w:rsidRPr="007F00F1" w:rsidRDefault="007F00F1" w:rsidP="007F00F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F00F1">
        <w:rPr>
          <w:rFonts w:ascii="Times New Roman" w:hAnsi="Times New Roman" w:cs="Times New Roman"/>
          <w:i/>
          <w:iCs/>
          <w:sz w:val="28"/>
          <w:szCs w:val="28"/>
          <w:lang w:val="en-US"/>
        </w:rPr>
        <w:t>Analiza de închidere a proiectului</w:t>
      </w:r>
    </w:p>
    <w:p w14:paraId="2C3288F6" w14:textId="77777777" w:rsidR="007F00F1" w:rsidRPr="007F00F1" w:rsidRDefault="007F00F1" w:rsidP="007F00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0F1">
        <w:rPr>
          <w:rFonts w:ascii="Times New Roman" w:hAnsi="Times New Roman" w:cs="Times New Roman"/>
          <w:sz w:val="28"/>
          <w:szCs w:val="28"/>
          <w:lang w:val="en-US"/>
        </w:rPr>
        <w:t>Închiderea este etapa în care echipa conduce analiza post-proiect, iar managerul de proiect închide proiectul dezangajând resursele și închizând contractele cu furnizorii. Aceasta este o bună ocazie de a evalua dacă proiectul îndeplinește obiectivele și dacă am învățat ceva ce poate fi utilizat și la proiecte viitoare.</w:t>
      </w:r>
    </w:p>
    <w:p w14:paraId="29BD0C07" w14:textId="77777777" w:rsidR="007F00F1" w:rsidRPr="007F00F1" w:rsidRDefault="007F00F1" w:rsidP="007F00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0F1">
        <w:rPr>
          <w:rFonts w:ascii="Times New Roman" w:hAnsi="Times New Roman" w:cs="Times New Roman"/>
          <w:sz w:val="28"/>
          <w:szCs w:val="28"/>
          <w:lang w:val="en-US"/>
        </w:rPr>
        <w:t>În funcție de natura proiectului, acest lucru poate reprezenta și un punct de plecare pentru realizarea de beneficii, iar în acest caz vom urmări dacă proiectul a adus beneficiile prevăzute în timp.</w:t>
      </w:r>
    </w:p>
    <w:p w14:paraId="52851488" w14:textId="77777777" w:rsidR="007F00F1" w:rsidRPr="004141AE" w:rsidRDefault="007F00F1" w:rsidP="00BD1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0F1" w:rsidRPr="00414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3C67"/>
    <w:multiLevelType w:val="multilevel"/>
    <w:tmpl w:val="06B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31739"/>
    <w:multiLevelType w:val="hybridMultilevel"/>
    <w:tmpl w:val="18F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AE"/>
    <w:rsid w:val="002811BC"/>
    <w:rsid w:val="004141AE"/>
    <w:rsid w:val="007F00F1"/>
    <w:rsid w:val="00A0082C"/>
    <w:rsid w:val="00BD1F56"/>
    <w:rsid w:val="00E87CDD"/>
    <w:rsid w:val="00F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9A67"/>
  <w15:chartTrackingRefBased/>
  <w15:docId w15:val="{F38EA1DA-F0FB-4BB2-956D-18ED4E8A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5589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097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2513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3653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4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874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6</cp:revision>
  <dcterms:created xsi:type="dcterms:W3CDTF">2021-06-08T09:26:00Z</dcterms:created>
  <dcterms:modified xsi:type="dcterms:W3CDTF">2021-06-08T10:00:00Z</dcterms:modified>
</cp:coreProperties>
</file>