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731E" w:rsidRDefault="004D731E" w:rsidP="004D731E">
      <w:pPr>
        <w:jc w:val="center"/>
        <w:rPr>
          <w:b/>
        </w:rPr>
      </w:pPr>
      <w:r w:rsidRPr="004D731E">
        <w:rPr>
          <w:b/>
        </w:rPr>
        <w:t>Вторая аттестация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Сущность. Понятия «бытие».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Материя и движение.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Время и пространство в науки.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Современная физика о структуре материи.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Структура психики и сознания.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Сознание как отражение и ее формы.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Гносеология как учение о познании.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Субъект и объект познания.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Основные ступени познания.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Чувственное познание. Ощущение и ее роль в познание.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Рациональное познание. Формы рационального познания.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Понятие как форма рационального познания.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Суждение как форма рационального сознания.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Умозаключение. Структура и виды умозаключения.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Понятие истины. Теории истины.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Уровни научного познания.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>Эмпирический и теоретический уровень.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Классификация методов теоретического познания. </w:t>
      </w:r>
    </w:p>
    <w:p w:rsidR="004D731E" w:rsidRDefault="004D731E" w:rsidP="004D731E">
      <w:pPr>
        <w:pStyle w:val="a3"/>
        <w:numPr>
          <w:ilvl w:val="0"/>
          <w:numId w:val="1"/>
        </w:numPr>
      </w:pPr>
      <w:r>
        <w:t xml:space="preserve">Синергетика – учение о самоорганизации материальных систем. </w:t>
      </w:r>
    </w:p>
    <w:p w:rsidR="004D731E" w:rsidRDefault="004D731E" w:rsidP="004D731E">
      <w:pPr>
        <w:pStyle w:val="a3"/>
        <w:numPr>
          <w:ilvl w:val="0"/>
          <w:numId w:val="1"/>
        </w:numPr>
      </w:pPr>
      <w:proofErr w:type="gramStart"/>
      <w:r>
        <w:t>Философский</w:t>
      </w:r>
      <w:proofErr w:type="gramEnd"/>
      <w:r>
        <w:t xml:space="preserve"> вопросы техники.</w:t>
      </w:r>
    </w:p>
    <w:sectPr w:rsidR="004D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1AB"/>
    <w:multiLevelType w:val="hybridMultilevel"/>
    <w:tmpl w:val="97B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731E"/>
    <w:rsid w:val="004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2020-11-16T15:50:00Z</dcterms:created>
  <dcterms:modified xsi:type="dcterms:W3CDTF">2020-11-16T15:59:00Z</dcterms:modified>
</cp:coreProperties>
</file>